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98" w:type="dxa"/>
        <w:tblLook w:val="04A0" w:firstRow="1" w:lastRow="0" w:firstColumn="1" w:lastColumn="0" w:noHBand="0" w:noVBand="1"/>
      </w:tblPr>
      <w:tblGrid>
        <w:gridCol w:w="2070"/>
        <w:gridCol w:w="12870"/>
      </w:tblGrid>
      <w:tr w:rsidR="004D00FE" w:rsidRPr="004D00FE" w14:paraId="2F52B274" w14:textId="77777777" w:rsidTr="00311EA4">
        <w:tc>
          <w:tcPr>
            <w:tcW w:w="2070" w:type="dxa"/>
          </w:tcPr>
          <w:p w14:paraId="3D76DB57" w14:textId="417DBA5C" w:rsidR="004D00FE" w:rsidRPr="00311EA4" w:rsidRDefault="004D00FE" w:rsidP="00311EA4">
            <w:pPr>
              <w:jc w:val="center"/>
              <w:rPr>
                <w:rFonts w:ascii="Times New Roman" w:hAnsi="Times New Roman" w:cs="Times New Roman"/>
                <w:b/>
              </w:rPr>
            </w:pPr>
            <w:r w:rsidRPr="00311EA4">
              <w:rPr>
                <w:rFonts w:ascii="Times New Roman" w:hAnsi="Times New Roman" w:cs="Times New Roman"/>
                <w:b/>
              </w:rPr>
              <w:t>Philosopher</w:t>
            </w:r>
          </w:p>
        </w:tc>
        <w:tc>
          <w:tcPr>
            <w:tcW w:w="12870" w:type="dxa"/>
          </w:tcPr>
          <w:p w14:paraId="13C95F1E" w14:textId="77777777" w:rsidR="004D00FE" w:rsidRPr="00311EA4" w:rsidRDefault="004D00FE" w:rsidP="00311EA4">
            <w:pPr>
              <w:jc w:val="center"/>
              <w:rPr>
                <w:rFonts w:ascii="Times New Roman" w:hAnsi="Times New Roman" w:cs="Times New Roman"/>
                <w:b/>
              </w:rPr>
            </w:pPr>
            <w:r w:rsidRPr="00311EA4">
              <w:rPr>
                <w:rFonts w:ascii="Times New Roman" w:hAnsi="Times New Roman" w:cs="Times New Roman"/>
                <w:b/>
              </w:rPr>
              <w:t>View on Human Nature</w:t>
            </w:r>
          </w:p>
        </w:tc>
      </w:tr>
      <w:tr w:rsidR="004D00FE" w:rsidRPr="004D00FE" w14:paraId="6A3C00EA" w14:textId="77777777" w:rsidTr="00311EA4">
        <w:tc>
          <w:tcPr>
            <w:tcW w:w="2070" w:type="dxa"/>
          </w:tcPr>
          <w:p w14:paraId="1294DA98" w14:textId="77777777" w:rsidR="004D00FE" w:rsidRPr="004D00FE" w:rsidRDefault="004D00FE">
            <w:pPr>
              <w:rPr>
                <w:rFonts w:ascii="Times New Roman" w:hAnsi="Times New Roman" w:cs="Times New Roman"/>
              </w:rPr>
            </w:pPr>
            <w:r w:rsidRPr="004D00FE">
              <w:rPr>
                <w:rFonts w:ascii="Times New Roman" w:hAnsi="Times New Roman" w:cs="Times New Roman"/>
              </w:rPr>
              <w:t>Socrates</w:t>
            </w:r>
          </w:p>
          <w:p w14:paraId="7392B383" w14:textId="77777777" w:rsidR="004D00FE" w:rsidRPr="004D00FE" w:rsidRDefault="004D00FE">
            <w:pPr>
              <w:rPr>
                <w:rFonts w:ascii="Times New Roman" w:hAnsi="Times New Roman" w:cs="Times New Roman"/>
              </w:rPr>
            </w:pPr>
          </w:p>
        </w:tc>
        <w:tc>
          <w:tcPr>
            <w:tcW w:w="12870" w:type="dxa"/>
          </w:tcPr>
          <w:p w14:paraId="5DFD8E91" w14:textId="77777777" w:rsidR="004D00FE" w:rsidRPr="004D00FE" w:rsidRDefault="004D00FE">
            <w:pPr>
              <w:rPr>
                <w:rFonts w:ascii="Times New Roman" w:hAnsi="Times New Roman" w:cs="Times New Roman"/>
              </w:rPr>
            </w:pPr>
            <w:hyperlink r:id="rId5" w:history="1">
              <w:r w:rsidRPr="004D00FE">
                <w:rPr>
                  <w:rStyle w:val="Hyperlink"/>
                  <w:rFonts w:ascii="Times New Roman" w:hAnsi="Times New Roman" w:cs="Times New Roman"/>
                </w:rPr>
                <w:t>http:</w:t>
              </w:r>
              <w:r w:rsidRPr="004D00FE">
                <w:rPr>
                  <w:rStyle w:val="Hyperlink"/>
                  <w:rFonts w:ascii="Times New Roman" w:hAnsi="Times New Roman" w:cs="Times New Roman"/>
                </w:rPr>
                <w:t>/</w:t>
              </w:r>
              <w:r w:rsidRPr="004D00FE">
                <w:rPr>
                  <w:rStyle w:val="Hyperlink"/>
                  <w:rFonts w:ascii="Times New Roman" w:hAnsi="Times New Roman" w:cs="Times New Roman"/>
                </w:rPr>
                <w:t>/oregonstate.edu/instruct/phl201/modules/Philosophers/Socrates/socrates03.html</w:t>
              </w:r>
            </w:hyperlink>
          </w:p>
          <w:p w14:paraId="78F1AB0D" w14:textId="3C8DABC2" w:rsidR="004D00FE" w:rsidRPr="004D00FE" w:rsidRDefault="008A4EAB">
            <w:pPr>
              <w:rPr>
                <w:rFonts w:ascii="Times New Roman" w:hAnsi="Times New Roman" w:cs="Times New Roman"/>
              </w:rPr>
            </w:pPr>
            <w:r>
              <w:rPr>
                <w:rFonts w:ascii="Times New Roman" w:hAnsi="Times New Roman" w:cs="Times New Roman"/>
              </w:rPr>
              <w:t>No one does evil i</w:t>
            </w:r>
            <w:r w:rsidR="004D00FE" w:rsidRPr="004D00FE">
              <w:rPr>
                <w:rFonts w:ascii="Times New Roman" w:hAnsi="Times New Roman" w:cs="Times New Roman"/>
              </w:rPr>
              <w:t>ntentionally</w:t>
            </w:r>
            <w:r w:rsidR="00E5642E">
              <w:rPr>
                <w:rFonts w:ascii="Times New Roman" w:hAnsi="Times New Roman" w:cs="Times New Roman"/>
              </w:rPr>
              <w:t>.</w:t>
            </w:r>
          </w:p>
        </w:tc>
      </w:tr>
      <w:tr w:rsidR="004D00FE" w:rsidRPr="004D00FE" w14:paraId="44AD5169" w14:textId="77777777" w:rsidTr="00311EA4">
        <w:tc>
          <w:tcPr>
            <w:tcW w:w="2070" w:type="dxa"/>
          </w:tcPr>
          <w:p w14:paraId="1AFC0021" w14:textId="77777777" w:rsidR="004D00FE" w:rsidRPr="004D00FE" w:rsidRDefault="004D00FE">
            <w:pPr>
              <w:rPr>
                <w:rFonts w:ascii="Times New Roman" w:hAnsi="Times New Roman" w:cs="Times New Roman"/>
              </w:rPr>
            </w:pPr>
            <w:r w:rsidRPr="004D00FE">
              <w:rPr>
                <w:rFonts w:ascii="Times New Roman" w:hAnsi="Times New Roman" w:cs="Times New Roman"/>
              </w:rPr>
              <w:t>Plato</w:t>
            </w:r>
          </w:p>
          <w:p w14:paraId="509DB3C6" w14:textId="77777777" w:rsidR="004D00FE" w:rsidRPr="004D00FE" w:rsidRDefault="004D00FE">
            <w:pPr>
              <w:rPr>
                <w:rFonts w:ascii="Times New Roman" w:hAnsi="Times New Roman" w:cs="Times New Roman"/>
              </w:rPr>
            </w:pPr>
          </w:p>
        </w:tc>
        <w:tc>
          <w:tcPr>
            <w:tcW w:w="12870" w:type="dxa"/>
          </w:tcPr>
          <w:p w14:paraId="4D069F33" w14:textId="77777777" w:rsidR="004D00FE" w:rsidRPr="004D00FE" w:rsidRDefault="004D00FE">
            <w:pPr>
              <w:rPr>
                <w:rFonts w:ascii="Times New Roman" w:hAnsi="Times New Roman" w:cs="Times New Roman"/>
              </w:rPr>
            </w:pPr>
            <w:hyperlink r:id="rId6" w:history="1">
              <w:r w:rsidRPr="004D00FE">
                <w:rPr>
                  <w:rStyle w:val="Hyperlink"/>
                  <w:rFonts w:ascii="Times New Roman" w:hAnsi="Times New Roman" w:cs="Times New Roman"/>
                </w:rPr>
                <w:t>http://oregonstate.edu/instruct/phl201/modules/Philosophers/Plato/plato02_objective_values.html</w:t>
              </w:r>
            </w:hyperlink>
          </w:p>
          <w:p w14:paraId="40FCFE1C" w14:textId="22030B9E" w:rsidR="004D00FE" w:rsidRPr="004D00FE" w:rsidRDefault="004D00FE">
            <w:pPr>
              <w:rPr>
                <w:rFonts w:ascii="Times New Roman" w:hAnsi="Times New Roman" w:cs="Times New Roman"/>
              </w:rPr>
            </w:pPr>
            <w:r w:rsidRPr="004D00FE">
              <w:rPr>
                <w:rFonts w:ascii="Times New Roman" w:hAnsi="Times New Roman" w:cs="Times New Roman"/>
              </w:rPr>
              <w:t>Good, justice, and virtue are objective realities. Evil is ignorance.</w:t>
            </w:r>
          </w:p>
        </w:tc>
      </w:tr>
      <w:tr w:rsidR="004D00FE" w:rsidRPr="004D00FE" w14:paraId="223A2E3B" w14:textId="77777777" w:rsidTr="00311EA4">
        <w:tc>
          <w:tcPr>
            <w:tcW w:w="2070" w:type="dxa"/>
          </w:tcPr>
          <w:p w14:paraId="48190FCC" w14:textId="77777777" w:rsidR="004D00FE" w:rsidRPr="004D00FE" w:rsidRDefault="004D00FE">
            <w:pPr>
              <w:rPr>
                <w:rFonts w:ascii="Times New Roman" w:hAnsi="Times New Roman" w:cs="Times New Roman"/>
              </w:rPr>
            </w:pPr>
            <w:r w:rsidRPr="004D00FE">
              <w:rPr>
                <w:rFonts w:ascii="Times New Roman" w:hAnsi="Times New Roman" w:cs="Times New Roman"/>
              </w:rPr>
              <w:t>Aristotle</w:t>
            </w:r>
          </w:p>
          <w:p w14:paraId="047FD91C" w14:textId="77777777" w:rsidR="004D00FE" w:rsidRPr="004D00FE" w:rsidRDefault="004D00FE">
            <w:pPr>
              <w:rPr>
                <w:rFonts w:ascii="Times New Roman" w:hAnsi="Times New Roman" w:cs="Times New Roman"/>
                <w:sz w:val="22"/>
                <w:szCs w:val="22"/>
              </w:rPr>
            </w:pPr>
          </w:p>
        </w:tc>
        <w:tc>
          <w:tcPr>
            <w:tcW w:w="12870" w:type="dxa"/>
          </w:tcPr>
          <w:p w14:paraId="37B8AC0A" w14:textId="77777777" w:rsidR="004D00FE" w:rsidRPr="004D00FE" w:rsidRDefault="004D00FE">
            <w:pPr>
              <w:rPr>
                <w:rFonts w:ascii="Times New Roman" w:hAnsi="Times New Roman" w:cs="Times New Roman"/>
              </w:rPr>
            </w:pPr>
            <w:hyperlink r:id="rId7" w:history="1">
              <w:r w:rsidRPr="004D00FE">
                <w:rPr>
                  <w:rStyle w:val="Hyperlink"/>
                  <w:rFonts w:ascii="Times New Roman" w:hAnsi="Times New Roman" w:cs="Times New Roman"/>
                </w:rPr>
                <w:t>http://plato.stanford.edu/entries/aristotle-ethics/</w:t>
              </w:r>
            </w:hyperlink>
          </w:p>
          <w:p w14:paraId="796491CC" w14:textId="69E17394" w:rsidR="008A4EAB" w:rsidRPr="004D00FE" w:rsidRDefault="004D00FE">
            <w:pPr>
              <w:rPr>
                <w:rFonts w:ascii="Times New Roman" w:hAnsi="Times New Roman" w:cs="Times New Roman"/>
              </w:rPr>
            </w:pPr>
            <w:r w:rsidRPr="00E5642E">
              <w:rPr>
                <w:rFonts w:ascii="Times New Roman" w:hAnsi="Times New Roman" w:cs="Times New Roman"/>
              </w:rPr>
              <w:t xml:space="preserve">We must also acquire, through practice, those deliberative, emotional, and social skills that enable us to put our general understanding of </w:t>
            </w:r>
            <w:proofErr w:type="gramStart"/>
            <w:r w:rsidRPr="00E5642E">
              <w:rPr>
                <w:rFonts w:ascii="Times New Roman" w:hAnsi="Times New Roman" w:cs="Times New Roman"/>
              </w:rPr>
              <w:t>well-being</w:t>
            </w:r>
            <w:proofErr w:type="gramEnd"/>
            <w:r w:rsidRPr="00E5642E">
              <w:rPr>
                <w:rFonts w:ascii="Times New Roman" w:hAnsi="Times New Roman" w:cs="Times New Roman"/>
              </w:rPr>
              <w:t xml:space="preserve"> into practice in ways that are suitable to each occasion</w:t>
            </w:r>
            <w:r w:rsidR="008A4EAB" w:rsidRPr="00E5642E">
              <w:rPr>
                <w:rFonts w:ascii="Times New Roman" w:hAnsi="Times New Roman" w:cs="Times New Roman"/>
              </w:rPr>
              <w:t>.</w:t>
            </w:r>
          </w:p>
        </w:tc>
      </w:tr>
      <w:tr w:rsidR="004D00FE" w:rsidRPr="004D00FE" w14:paraId="653B18C1" w14:textId="77777777" w:rsidTr="00311EA4">
        <w:tc>
          <w:tcPr>
            <w:tcW w:w="2070" w:type="dxa"/>
          </w:tcPr>
          <w:p w14:paraId="2D0C4F4C" w14:textId="77777777" w:rsidR="004D00FE" w:rsidRPr="00500E7F" w:rsidRDefault="004D00FE">
            <w:pPr>
              <w:rPr>
                <w:rFonts w:ascii="Times New Roman" w:hAnsi="Times New Roman" w:cs="Times New Roman"/>
              </w:rPr>
            </w:pPr>
            <w:r w:rsidRPr="00500E7F">
              <w:rPr>
                <w:rFonts w:ascii="Times New Roman" w:hAnsi="Times New Roman" w:cs="Times New Roman"/>
              </w:rPr>
              <w:t>Thomas Hobbes</w:t>
            </w:r>
          </w:p>
        </w:tc>
        <w:tc>
          <w:tcPr>
            <w:tcW w:w="12870" w:type="dxa"/>
          </w:tcPr>
          <w:p w14:paraId="4C4AE37C" w14:textId="77777777" w:rsidR="00500E7F" w:rsidRDefault="008A4EAB">
            <w:pPr>
              <w:rPr>
                <w:rFonts w:ascii="Times New Roman" w:hAnsi="Times New Roman" w:cs="Times New Roman"/>
              </w:rPr>
            </w:pPr>
            <w:hyperlink r:id="rId8" w:history="1">
              <w:r w:rsidRPr="00500E7F">
                <w:rPr>
                  <w:rStyle w:val="Hyperlink"/>
                  <w:rFonts w:ascii="Times New Roman" w:hAnsi="Times New Roman" w:cs="Times New Roman"/>
                </w:rPr>
                <w:t>http://oregonstate.edu/instruct/phl201/modules/Philosophers/Hobbes/hobbes_human_nature.html</w:t>
              </w:r>
            </w:hyperlink>
          </w:p>
          <w:p w14:paraId="3B5FCCA8" w14:textId="091BE40A" w:rsidR="008A4EAB" w:rsidRPr="00500E7F" w:rsidRDefault="00500E7F">
            <w:pPr>
              <w:rPr>
                <w:rFonts w:ascii="Times New Roman" w:hAnsi="Times New Roman" w:cs="Times New Roman"/>
              </w:rPr>
            </w:pPr>
            <w:r>
              <w:rPr>
                <w:rFonts w:ascii="Times New Roman" w:hAnsi="Times New Roman" w:cs="Times New Roman"/>
              </w:rPr>
              <w:t>The</w:t>
            </w:r>
            <w:r w:rsidRPr="00500E7F">
              <w:rPr>
                <w:rFonts w:ascii="Times New Roman" w:hAnsi="Times New Roman" w:cs="Times New Roman"/>
              </w:rPr>
              <w:t xml:space="preserve"> account of human nature emphasizes our animal nature, leaving each of us to live independently of everyone else, acting only in his or her own self-interest, without regard for others. This produces what he called the "state of war," a way of life that is certain to prove "solitary, poor, nasty, brutish, and short.</w:t>
            </w:r>
            <w:r w:rsidR="00E5642E">
              <w:rPr>
                <w:rFonts w:ascii="Times New Roman" w:hAnsi="Times New Roman" w:cs="Times New Roman"/>
              </w:rPr>
              <w:t>”</w:t>
            </w:r>
          </w:p>
        </w:tc>
      </w:tr>
      <w:tr w:rsidR="004D00FE" w:rsidRPr="004D00FE" w14:paraId="78C8AA14" w14:textId="77777777" w:rsidTr="00311EA4">
        <w:tc>
          <w:tcPr>
            <w:tcW w:w="2070" w:type="dxa"/>
          </w:tcPr>
          <w:p w14:paraId="27318825" w14:textId="77777777" w:rsidR="004D00FE" w:rsidRPr="00500E7F" w:rsidRDefault="004D00FE">
            <w:pPr>
              <w:rPr>
                <w:rFonts w:ascii="Times New Roman" w:hAnsi="Times New Roman" w:cs="Times New Roman"/>
              </w:rPr>
            </w:pPr>
            <w:r w:rsidRPr="00500E7F">
              <w:rPr>
                <w:rFonts w:ascii="Times New Roman" w:hAnsi="Times New Roman" w:cs="Times New Roman"/>
              </w:rPr>
              <w:t>John Locke</w:t>
            </w:r>
          </w:p>
        </w:tc>
        <w:tc>
          <w:tcPr>
            <w:tcW w:w="12870" w:type="dxa"/>
          </w:tcPr>
          <w:p w14:paraId="3240B9BA" w14:textId="77777777" w:rsidR="00500E7F" w:rsidRPr="00350413" w:rsidRDefault="00500E7F">
            <w:pPr>
              <w:rPr>
                <w:rFonts w:ascii="Times" w:hAnsi="Times" w:cs="Times"/>
              </w:rPr>
            </w:pPr>
            <w:hyperlink r:id="rId9" w:history="1">
              <w:r w:rsidRPr="00350413">
                <w:rPr>
                  <w:rStyle w:val="Hyperlink"/>
                  <w:rFonts w:ascii="Times" w:hAnsi="Times" w:cs="Times"/>
                </w:rPr>
                <w:t>http://plato.stanford.edu/entries/locke/</w:t>
              </w:r>
            </w:hyperlink>
          </w:p>
          <w:p w14:paraId="04D84B2D" w14:textId="0E07FCFF" w:rsidR="00500E7F" w:rsidRPr="00350413" w:rsidRDefault="00500E7F">
            <w:pPr>
              <w:rPr>
                <w:rFonts w:ascii="Times" w:hAnsi="Times" w:cs="Times"/>
              </w:rPr>
            </w:pPr>
            <w:r w:rsidRPr="00350413">
              <w:rPr>
                <w:rFonts w:ascii="Times" w:hAnsi="Times" w:cs="Times"/>
              </w:rPr>
              <w:t xml:space="preserve">We are blank slates, filled in by experience. As equals, we all have rights to life, liberty, health and property. These are </w:t>
            </w:r>
            <w:proofErr w:type="gramStart"/>
            <w:r w:rsidRPr="00350413">
              <w:rPr>
                <w:rFonts w:ascii="Times" w:hAnsi="Times" w:cs="Times"/>
              </w:rPr>
              <w:t>natural rights, that is</w:t>
            </w:r>
            <w:proofErr w:type="gramEnd"/>
            <w:r w:rsidRPr="00350413">
              <w:rPr>
                <w:rFonts w:ascii="Times" w:hAnsi="Times" w:cs="Times"/>
              </w:rPr>
              <w:t xml:space="preserve"> they are rights that we have in a state of nature before the introduction of civil government, and all people have these rights equally.</w:t>
            </w:r>
          </w:p>
        </w:tc>
      </w:tr>
      <w:tr w:rsidR="004D00FE" w:rsidRPr="004D00FE" w14:paraId="75525578" w14:textId="77777777" w:rsidTr="00311EA4">
        <w:tc>
          <w:tcPr>
            <w:tcW w:w="2070" w:type="dxa"/>
          </w:tcPr>
          <w:p w14:paraId="4531ABF7" w14:textId="77777777" w:rsidR="004D00FE" w:rsidRPr="00350413" w:rsidRDefault="004D00FE">
            <w:pPr>
              <w:rPr>
                <w:rFonts w:ascii="Times New Roman" w:hAnsi="Times New Roman" w:cs="Times New Roman"/>
              </w:rPr>
            </w:pPr>
            <w:r w:rsidRPr="00350413">
              <w:rPr>
                <w:rFonts w:ascii="Times New Roman" w:hAnsi="Times New Roman" w:cs="Times New Roman"/>
              </w:rPr>
              <w:t>Jean-Jacques Rousseau</w:t>
            </w:r>
          </w:p>
        </w:tc>
        <w:tc>
          <w:tcPr>
            <w:tcW w:w="12870" w:type="dxa"/>
          </w:tcPr>
          <w:p w14:paraId="3C7A3947" w14:textId="5ED214C6" w:rsidR="00350413" w:rsidRPr="00350413" w:rsidRDefault="00350413">
            <w:pPr>
              <w:rPr>
                <w:rFonts w:ascii="Times" w:hAnsi="Times" w:cs="Times"/>
              </w:rPr>
            </w:pPr>
            <w:hyperlink r:id="rId10" w:history="1">
              <w:r w:rsidRPr="00350413">
                <w:rPr>
                  <w:rStyle w:val="Hyperlink"/>
                  <w:rFonts w:ascii="Times" w:hAnsi="Times" w:cs="Times"/>
                </w:rPr>
                <w:t>http://plato.stanford.edu/entries/rousseau/#ConHisMorPsy</w:t>
              </w:r>
            </w:hyperlink>
          </w:p>
          <w:p w14:paraId="1D9EEF62" w14:textId="61099603" w:rsidR="00350413" w:rsidRPr="00350413" w:rsidRDefault="00350413">
            <w:pPr>
              <w:rPr>
                <w:rFonts w:ascii="Times" w:hAnsi="Times" w:cs="Times"/>
              </w:rPr>
            </w:pPr>
            <w:r w:rsidRPr="00350413">
              <w:rPr>
                <w:rFonts w:ascii="Times" w:hAnsi="Times" w:cs="Times"/>
              </w:rPr>
              <w:t>Human beings are good by nature but are rendered corrupt only by society</w:t>
            </w:r>
            <w:r w:rsidR="00311EA4">
              <w:rPr>
                <w:rFonts w:ascii="Times" w:hAnsi="Times" w:cs="Times"/>
              </w:rPr>
              <w:t>.</w:t>
            </w:r>
            <w:bookmarkStart w:id="0" w:name="_GoBack"/>
            <w:bookmarkEnd w:id="0"/>
          </w:p>
        </w:tc>
      </w:tr>
      <w:tr w:rsidR="00500E7F" w:rsidRPr="004D00FE" w14:paraId="436E0EE5" w14:textId="77777777" w:rsidTr="00311EA4">
        <w:tc>
          <w:tcPr>
            <w:tcW w:w="2070" w:type="dxa"/>
          </w:tcPr>
          <w:p w14:paraId="72A5D8BF" w14:textId="0F6323BB" w:rsidR="00500E7F" w:rsidRPr="00350413" w:rsidRDefault="00350413">
            <w:pPr>
              <w:rPr>
                <w:rFonts w:ascii="Times New Roman" w:hAnsi="Times New Roman" w:cs="Times New Roman"/>
              </w:rPr>
            </w:pPr>
            <w:proofErr w:type="spellStart"/>
            <w:r w:rsidRPr="00350413">
              <w:rPr>
                <w:rFonts w:ascii="Times New Roman" w:hAnsi="Times New Roman" w:cs="Times New Roman"/>
              </w:rPr>
              <w:t>Niccolo</w:t>
            </w:r>
            <w:proofErr w:type="spellEnd"/>
            <w:r w:rsidRPr="00350413">
              <w:rPr>
                <w:rFonts w:ascii="Times New Roman" w:hAnsi="Times New Roman" w:cs="Times New Roman"/>
              </w:rPr>
              <w:t xml:space="preserve"> </w:t>
            </w:r>
            <w:r w:rsidR="00500E7F" w:rsidRPr="00350413">
              <w:rPr>
                <w:rFonts w:ascii="Times New Roman" w:hAnsi="Times New Roman" w:cs="Times New Roman"/>
              </w:rPr>
              <w:t>Machiavelli</w:t>
            </w:r>
          </w:p>
        </w:tc>
        <w:tc>
          <w:tcPr>
            <w:tcW w:w="12870" w:type="dxa"/>
          </w:tcPr>
          <w:p w14:paraId="7AAF28E5" w14:textId="754C1DEC" w:rsidR="00350413" w:rsidRDefault="00350413">
            <w:pPr>
              <w:rPr>
                <w:rFonts w:ascii="Times" w:hAnsi="Times" w:cs="Times"/>
              </w:rPr>
            </w:pPr>
            <w:hyperlink r:id="rId11" w:history="1">
              <w:r w:rsidRPr="005E6FB2">
                <w:rPr>
                  <w:rStyle w:val="Hyperlink"/>
                  <w:rFonts w:ascii="Times" w:hAnsi="Times" w:cs="Times"/>
                </w:rPr>
                <w:t>http://plato.stanford.edu/entries/machiavelli/</w:t>
              </w:r>
            </w:hyperlink>
          </w:p>
          <w:p w14:paraId="5F7916D7" w14:textId="00624FEE" w:rsidR="00500E7F" w:rsidRPr="00350413" w:rsidRDefault="00350413">
            <w:pPr>
              <w:rPr>
                <w:rFonts w:ascii="Times New Roman" w:hAnsi="Times New Roman" w:cs="Times New Roman"/>
              </w:rPr>
            </w:pPr>
            <w:r w:rsidRPr="00350413">
              <w:rPr>
                <w:rFonts w:ascii="Times" w:hAnsi="Times" w:cs="Times"/>
              </w:rPr>
              <w:t>There is no moral basis on which to judge the difference between legitimate and illegitimate uses of power. Rather, authority and power are essentially coequal: whoever has power has the right to command; but goodness does not ensure power and the good person has no more authority by virtue of being good. Thus, in direct opposition to a moralistic theory of politics, Machiavelli says that the only real concern of the political ruler is the acquisition and maintenance of power. The ends justify the means.</w:t>
            </w:r>
          </w:p>
        </w:tc>
      </w:tr>
      <w:tr w:rsidR="004D00FE" w:rsidRPr="004D00FE" w14:paraId="7212388F" w14:textId="77777777" w:rsidTr="00311EA4">
        <w:tc>
          <w:tcPr>
            <w:tcW w:w="2070" w:type="dxa"/>
          </w:tcPr>
          <w:p w14:paraId="7B73978C" w14:textId="1C89C7FA" w:rsidR="00080759" w:rsidRDefault="00080759" w:rsidP="00080759">
            <w:pPr>
              <w:rPr>
                <w:rFonts w:ascii="Times New Roman" w:hAnsi="Times New Roman" w:cs="Times New Roman"/>
                <w:sz w:val="26"/>
                <w:szCs w:val="26"/>
              </w:rPr>
            </w:pPr>
            <w:proofErr w:type="spellStart"/>
            <w:r w:rsidRPr="004D00FE">
              <w:rPr>
                <w:rFonts w:ascii="Times New Roman" w:hAnsi="Times New Roman" w:cs="Times New Roman"/>
                <w:sz w:val="26"/>
                <w:szCs w:val="26"/>
              </w:rPr>
              <w:t>Fredrich</w:t>
            </w:r>
            <w:proofErr w:type="spellEnd"/>
            <w:r w:rsidRPr="004D00FE">
              <w:rPr>
                <w:rFonts w:ascii="Times New Roman" w:hAnsi="Times New Roman" w:cs="Times New Roman"/>
                <w:sz w:val="26"/>
                <w:szCs w:val="26"/>
              </w:rPr>
              <w:t xml:space="preserve"> Nietzsche</w:t>
            </w:r>
            <w:r>
              <w:rPr>
                <w:rFonts w:ascii="Times New Roman" w:hAnsi="Times New Roman" w:cs="Times New Roman"/>
                <w:sz w:val="26"/>
                <w:szCs w:val="26"/>
              </w:rPr>
              <w:t>*</w:t>
            </w:r>
          </w:p>
          <w:p w14:paraId="703E4A65" w14:textId="4BD6C328" w:rsidR="004D00FE" w:rsidRPr="00247859" w:rsidRDefault="004D00FE" w:rsidP="00247859">
            <w:pPr>
              <w:rPr>
                <w:rFonts w:ascii="Times New Roman" w:hAnsi="Times New Roman" w:cs="Times New Roman"/>
                <w:sz w:val="20"/>
                <w:szCs w:val="20"/>
              </w:rPr>
            </w:pPr>
          </w:p>
        </w:tc>
        <w:tc>
          <w:tcPr>
            <w:tcW w:w="12870" w:type="dxa"/>
          </w:tcPr>
          <w:p w14:paraId="7B629A7B" w14:textId="49012176" w:rsidR="004D00FE" w:rsidRDefault="00080759">
            <w:pPr>
              <w:rPr>
                <w:rFonts w:ascii="Times New Roman" w:hAnsi="Times New Roman" w:cs="Times New Roman"/>
              </w:rPr>
            </w:pPr>
            <w:hyperlink r:id="rId12" w:history="1">
              <w:r w:rsidRPr="005E6FB2">
                <w:rPr>
                  <w:rStyle w:val="Hyperlink"/>
                  <w:rFonts w:ascii="Times New Roman" w:hAnsi="Times New Roman" w:cs="Times New Roman"/>
                </w:rPr>
                <w:t>http://plato.stanford.edu/entries/nietzsche/</w:t>
              </w:r>
            </w:hyperlink>
          </w:p>
          <w:p w14:paraId="0909B43F" w14:textId="77777777" w:rsidR="00080759" w:rsidRDefault="00080759">
            <w:pPr>
              <w:rPr>
                <w:rFonts w:ascii="Times" w:hAnsi="Times" w:cs="Times"/>
              </w:rPr>
            </w:pPr>
            <w:r w:rsidRPr="00247859">
              <w:rPr>
                <w:rFonts w:ascii="Times" w:hAnsi="Times" w:cs="Times"/>
              </w:rPr>
              <w:t xml:space="preserve">Living things aim to discharge their strength and express their “will to power” — a pouring-out of expansive energy as if one were like a </w:t>
            </w:r>
            <w:proofErr w:type="gramStart"/>
            <w:r w:rsidRPr="00247859">
              <w:rPr>
                <w:rFonts w:ascii="Times" w:hAnsi="Times" w:cs="Times"/>
              </w:rPr>
              <w:t>perpetually-shining</w:t>
            </w:r>
            <w:proofErr w:type="gramEnd"/>
            <w:r w:rsidRPr="00247859">
              <w:rPr>
                <w:rFonts w:ascii="Times" w:hAnsi="Times" w:cs="Times"/>
              </w:rPr>
              <w:t xml:space="preserve"> sun that, quite naturally, can entail danger, pain, lies, deception and masks. Here, “will” is not an inner emptiness, lack, feeling of deficiency, or constant drive for satisfaction, but is a fountain of </w:t>
            </w:r>
            <w:proofErr w:type="gramStart"/>
            <w:r w:rsidRPr="00247859">
              <w:rPr>
                <w:rFonts w:ascii="Times" w:hAnsi="Times" w:cs="Times"/>
              </w:rPr>
              <w:t>constantly-swelling</w:t>
            </w:r>
            <w:proofErr w:type="gramEnd"/>
            <w:r w:rsidRPr="00247859">
              <w:rPr>
                <w:rFonts w:ascii="Times" w:hAnsi="Times" w:cs="Times"/>
              </w:rPr>
              <w:t xml:space="preserve"> energy, or power.</w:t>
            </w:r>
          </w:p>
          <w:p w14:paraId="20B8F16A" w14:textId="545478C7" w:rsidR="00311EA4" w:rsidRPr="00247859" w:rsidRDefault="00311EA4">
            <w:pPr>
              <w:rPr>
                <w:rFonts w:ascii="Times New Roman" w:hAnsi="Times New Roman" w:cs="Times New Roman"/>
              </w:rPr>
            </w:pPr>
            <w:r>
              <w:rPr>
                <w:rFonts w:ascii="Times New Roman" w:hAnsi="Times New Roman" w:cs="Times New Roman"/>
                <w:sz w:val="20"/>
                <w:szCs w:val="20"/>
              </w:rPr>
              <w:t>*Important n</w:t>
            </w:r>
            <w:r w:rsidRPr="00247859">
              <w:rPr>
                <w:rFonts w:ascii="Times New Roman" w:hAnsi="Times New Roman" w:cs="Times New Roman"/>
                <w:sz w:val="20"/>
                <w:szCs w:val="20"/>
              </w:rPr>
              <w:t>ote on this philosopher: At first, poets, artists, and writers used Nietzsche’s “will to power” to interpret and express themselves in art. Later, Hitler interpreted Nietzsche’s philosophies for his own justifications.</w:t>
            </w:r>
          </w:p>
        </w:tc>
      </w:tr>
      <w:tr w:rsidR="004D00FE" w:rsidRPr="004D00FE" w14:paraId="1770C4AA" w14:textId="77777777" w:rsidTr="00311EA4">
        <w:tc>
          <w:tcPr>
            <w:tcW w:w="2070" w:type="dxa"/>
          </w:tcPr>
          <w:p w14:paraId="4010C9F9" w14:textId="03ED9D69" w:rsidR="004D00FE" w:rsidRPr="004D00FE" w:rsidRDefault="00080759">
            <w:pPr>
              <w:rPr>
                <w:rFonts w:ascii="Times New Roman" w:hAnsi="Times New Roman" w:cs="Times New Roman"/>
              </w:rPr>
            </w:pPr>
            <w:r w:rsidRPr="004D00FE">
              <w:rPr>
                <w:rFonts w:ascii="Times New Roman" w:hAnsi="Times New Roman" w:cs="Times New Roman"/>
              </w:rPr>
              <w:t>Karl Marx</w:t>
            </w:r>
          </w:p>
        </w:tc>
        <w:tc>
          <w:tcPr>
            <w:tcW w:w="12870" w:type="dxa"/>
          </w:tcPr>
          <w:p w14:paraId="1A723723" w14:textId="021BFBE2" w:rsidR="00080759" w:rsidRDefault="00080759">
            <w:pPr>
              <w:rPr>
                <w:rFonts w:ascii="Times" w:hAnsi="Times" w:cs="Times"/>
              </w:rPr>
            </w:pPr>
            <w:hyperlink r:id="rId13" w:history="1">
              <w:r w:rsidRPr="005E6FB2">
                <w:rPr>
                  <w:rStyle w:val="Hyperlink"/>
                  <w:rFonts w:ascii="Times" w:hAnsi="Times" w:cs="Times"/>
                </w:rPr>
                <w:t>http://plato.stanford.edu/entries/marx/</w:t>
              </w:r>
            </w:hyperlink>
          </w:p>
          <w:p w14:paraId="5F213164" w14:textId="2AB9FC2E" w:rsidR="004D00FE" w:rsidRPr="004D00FE" w:rsidRDefault="00080759">
            <w:pPr>
              <w:rPr>
                <w:rFonts w:ascii="Times New Roman" w:hAnsi="Times New Roman" w:cs="Times New Roman"/>
              </w:rPr>
            </w:pPr>
            <w:r w:rsidRPr="00080759">
              <w:rPr>
                <w:rFonts w:ascii="Times" w:hAnsi="Times" w:cs="Times"/>
              </w:rPr>
              <w:t>Believed in a Communist society in which each person should contribute according to their ability and receive according to their need. There is not need for morality or religion. According to Marks, Communism simply transcends the need for justice.</w:t>
            </w:r>
          </w:p>
        </w:tc>
      </w:tr>
      <w:tr w:rsidR="004D00FE" w:rsidRPr="004D00FE" w14:paraId="0D8B0E14" w14:textId="77777777" w:rsidTr="00311EA4">
        <w:tc>
          <w:tcPr>
            <w:tcW w:w="2070" w:type="dxa"/>
          </w:tcPr>
          <w:p w14:paraId="5C35607C" w14:textId="77777777" w:rsidR="004D00FE" w:rsidRPr="004D00FE" w:rsidRDefault="004D00FE">
            <w:pPr>
              <w:rPr>
                <w:rFonts w:ascii="Times New Roman" w:hAnsi="Times New Roman" w:cs="Times New Roman"/>
              </w:rPr>
            </w:pPr>
            <w:r w:rsidRPr="004D00FE">
              <w:rPr>
                <w:rFonts w:ascii="Times New Roman" w:hAnsi="Times New Roman" w:cs="Times New Roman"/>
              </w:rPr>
              <w:t>Martin Luther King, Jr.</w:t>
            </w:r>
          </w:p>
        </w:tc>
        <w:tc>
          <w:tcPr>
            <w:tcW w:w="12870" w:type="dxa"/>
          </w:tcPr>
          <w:p w14:paraId="58B5CD39" w14:textId="6E2AC81B" w:rsidR="00311EA4" w:rsidRDefault="00311EA4">
            <w:pPr>
              <w:rPr>
                <w:rFonts w:ascii="Times New Roman" w:hAnsi="Times New Roman" w:cs="Times New Roman"/>
              </w:rPr>
            </w:pPr>
            <w:hyperlink r:id="rId14" w:history="1">
              <w:r w:rsidRPr="005E6FB2">
                <w:rPr>
                  <w:rStyle w:val="Hyperlink"/>
                  <w:rFonts w:ascii="Times New Roman" w:hAnsi="Times New Roman" w:cs="Times New Roman"/>
                </w:rPr>
                <w:t>http://mlk-kpp01.stanford.edu/kingweb/additional_resources/articles/gospel.htm</w:t>
              </w:r>
            </w:hyperlink>
          </w:p>
          <w:p w14:paraId="06C34DC4" w14:textId="03E0C59C" w:rsidR="004D00FE" w:rsidRPr="00311EA4" w:rsidRDefault="00311EA4">
            <w:pPr>
              <w:rPr>
                <w:rFonts w:ascii="Times New Roman" w:hAnsi="Times New Roman" w:cs="Times New Roman"/>
              </w:rPr>
            </w:pPr>
            <w:r w:rsidRPr="00311EA4">
              <w:rPr>
                <w:rFonts w:ascii="Times New Roman" w:hAnsi="Times New Roman" w:cs="Times New Roman"/>
              </w:rPr>
              <w:t>The moral decay that King identified in modern culture could be rec</w:t>
            </w:r>
            <w:r>
              <w:rPr>
                <w:rFonts w:ascii="Times New Roman" w:hAnsi="Times New Roman" w:cs="Times New Roman"/>
              </w:rPr>
              <w:t xml:space="preserve">overed only by ethical living. </w:t>
            </w:r>
            <w:r w:rsidRPr="00311EA4">
              <w:rPr>
                <w:rFonts w:ascii="Times New Roman" w:hAnsi="Times New Roman" w:cs="Times New Roman"/>
              </w:rPr>
              <w:t>The thing that we need in the world today</w:t>
            </w:r>
            <w:r>
              <w:rPr>
                <w:rFonts w:ascii="Times New Roman" w:hAnsi="Times New Roman" w:cs="Times New Roman"/>
              </w:rPr>
              <w:t>, he argued</w:t>
            </w:r>
            <w:r w:rsidRPr="00311EA4">
              <w:rPr>
                <w:rFonts w:ascii="Times New Roman" w:hAnsi="Times New Roman" w:cs="Times New Roman"/>
              </w:rPr>
              <w:t>, is a group of men and women who will stand up for right and be opposed to wrong, wherever it is.</w:t>
            </w:r>
            <w:r>
              <w:rPr>
                <w:rFonts w:ascii="Times New Roman" w:hAnsi="Times New Roman" w:cs="Times New Roman"/>
              </w:rPr>
              <w:t xml:space="preserve"> Most famously, he wrote, “i</w:t>
            </w:r>
            <w:r w:rsidRPr="00311EA4">
              <w:rPr>
                <w:rFonts w:ascii="Times New Roman" w:hAnsi="Times New Roman" w:cs="Times New Roman"/>
              </w:rPr>
              <w:t>njustice anywhere is a threat to justice everywhere. We are caught in an inescapable network of mutuality, tied in a single garment of destiny.</w:t>
            </w:r>
            <w:r>
              <w:rPr>
                <w:rFonts w:ascii="Times New Roman" w:hAnsi="Times New Roman" w:cs="Times New Roman"/>
              </w:rPr>
              <w:t>”</w:t>
            </w:r>
          </w:p>
        </w:tc>
      </w:tr>
    </w:tbl>
    <w:p w14:paraId="2AA7DFBF" w14:textId="77777777" w:rsidR="00F576C9" w:rsidRPr="004D00FE" w:rsidRDefault="00F576C9">
      <w:pPr>
        <w:rPr>
          <w:rFonts w:ascii="Times New Roman" w:hAnsi="Times New Roman" w:cs="Times New Roman"/>
        </w:rPr>
      </w:pPr>
    </w:p>
    <w:sectPr w:rsidR="00F576C9" w:rsidRPr="004D00FE" w:rsidSect="00E5642E">
      <w:pgSz w:w="15840" w:h="12240" w:orient="landscape"/>
      <w:pgMar w:top="245" w:right="245" w:bottom="245" w:left="245" w:header="720" w:footer="720" w:gutter="0"/>
      <w:cols w:space="720"/>
      <w:printerSettings r:id="rId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FE"/>
    <w:rsid w:val="00080759"/>
    <w:rsid w:val="001F45BC"/>
    <w:rsid w:val="00247859"/>
    <w:rsid w:val="00274A6E"/>
    <w:rsid w:val="002E2EDC"/>
    <w:rsid w:val="00311EA4"/>
    <w:rsid w:val="00350413"/>
    <w:rsid w:val="004D00FE"/>
    <w:rsid w:val="00500E7F"/>
    <w:rsid w:val="008A4EAB"/>
    <w:rsid w:val="00E5642E"/>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8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00FE"/>
    <w:rPr>
      <w:color w:val="0000FF" w:themeColor="hyperlink"/>
      <w:u w:val="single"/>
    </w:rPr>
  </w:style>
  <w:style w:type="character" w:styleId="FollowedHyperlink">
    <w:name w:val="FollowedHyperlink"/>
    <w:basedOn w:val="DefaultParagraphFont"/>
    <w:uiPriority w:val="99"/>
    <w:semiHidden/>
    <w:unhideWhenUsed/>
    <w:rsid w:val="004D00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00FE"/>
    <w:rPr>
      <w:color w:val="0000FF" w:themeColor="hyperlink"/>
      <w:u w:val="single"/>
    </w:rPr>
  </w:style>
  <w:style w:type="character" w:styleId="FollowedHyperlink">
    <w:name w:val="FollowedHyperlink"/>
    <w:basedOn w:val="DefaultParagraphFont"/>
    <w:uiPriority w:val="99"/>
    <w:semiHidden/>
    <w:unhideWhenUsed/>
    <w:rsid w:val="004D0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lato.stanford.edu/entries/machiavelli/" TargetMode="External"/><Relationship Id="rId12" Type="http://schemas.openxmlformats.org/officeDocument/2006/relationships/hyperlink" Target="http://plato.stanford.edu/entries/nietzsche/" TargetMode="External"/><Relationship Id="rId13" Type="http://schemas.openxmlformats.org/officeDocument/2006/relationships/hyperlink" Target="http://plato.stanford.edu/entries/marx/" TargetMode="External"/><Relationship Id="rId14" Type="http://schemas.openxmlformats.org/officeDocument/2006/relationships/hyperlink" Target="http://mlk-kpp01.stanford.edu/kingweb/additional_resources/articles/gospel.htm" TargetMode="Externa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regonstate.edu/instruct/phl201/modules/Philosophers/Socrates/socrates03.html" TargetMode="External"/><Relationship Id="rId6" Type="http://schemas.openxmlformats.org/officeDocument/2006/relationships/hyperlink" Target="http://oregonstate.edu/instruct/phl201/modules/Philosophers/Plato/plato02_objective_values.html" TargetMode="External"/><Relationship Id="rId7" Type="http://schemas.openxmlformats.org/officeDocument/2006/relationships/hyperlink" Target="http://plato.stanford.edu/entries/aristotle-ethics/" TargetMode="External"/><Relationship Id="rId8" Type="http://schemas.openxmlformats.org/officeDocument/2006/relationships/hyperlink" Target="http://oregonstate.edu/instruct/phl201/modules/Philosophers/Hobbes/hobbes_human_nature.html" TargetMode="External"/><Relationship Id="rId9" Type="http://schemas.openxmlformats.org/officeDocument/2006/relationships/hyperlink" Target="http://plato.stanford.edu/entries/locke/" TargetMode="External"/><Relationship Id="rId10" Type="http://schemas.openxmlformats.org/officeDocument/2006/relationships/hyperlink" Target="http://plato.stanford.edu/entries/rousseau/#ConHisMorP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660</Words>
  <Characters>3768</Characters>
  <Application>Microsoft Macintosh Word</Application>
  <DocSecurity>0</DocSecurity>
  <Lines>31</Lines>
  <Paragraphs>8</Paragraphs>
  <ScaleCrop>false</ScaleCrop>
  <Company>SVVSD</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3</cp:revision>
  <dcterms:created xsi:type="dcterms:W3CDTF">2012-10-20T23:43:00Z</dcterms:created>
  <dcterms:modified xsi:type="dcterms:W3CDTF">2012-10-21T01:31:00Z</dcterms:modified>
</cp:coreProperties>
</file>