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Argument of </w:t>
      </w:r>
      <w:r w:rsidRPr="00000000" w:rsidR="00000000" w:rsidDel="00000000">
        <w:rPr>
          <w:rFonts w:cs="Times New Roman" w:hAnsi="Times New Roman" w:eastAsia="Times New Roman" w:ascii="Times New Roman"/>
          <w:b w:val="1"/>
          <w:sz w:val="24"/>
          <w:u w:val="single"/>
          <w:rtl w:val="0"/>
        </w:rPr>
        <w:t xml:space="preserve">Evaluation</w:t>
      </w:r>
      <w:r w:rsidRPr="00000000" w:rsidR="00000000" w:rsidDel="00000000">
        <w:rPr>
          <w:rFonts w:cs="Times New Roman" w:hAnsi="Times New Roman" w:eastAsia="Times New Roman" w:ascii="Times New Roman"/>
          <w:b w:val="1"/>
          <w:sz w:val="24"/>
          <w:rtl w:val="0"/>
        </w:rPr>
        <w:t xml:space="preserve"> Essay Construction                                        </w:t>
        <w:tab/>
        <w:t xml:space="preserve">Frick – AP Lang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tab/>
        <w:t xml:space="preserve">        </w:t>
        <w:tab/>
        <w:t xml:space="preserve">+                              </w:t>
        <w:tab/>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G</w:t>
      </w:r>
      <w:r w:rsidRPr="00000000" w:rsidR="00000000" w:rsidDel="00000000">
        <w:rPr>
          <w:rFonts w:cs="Times New Roman" w:hAnsi="Times New Roman" w:eastAsia="Times New Roman" w:ascii="Times New Roman"/>
          <w:sz w:val="24"/>
          <w:rtl w:val="0"/>
        </w:rPr>
        <w:t xml:space="preserve">overnment and current events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w:t>
      </w:r>
      <w:r w:rsidRPr="00000000" w:rsidR="00000000" w:rsidDel="00000000">
        <w:rPr>
          <w:rFonts w:cs="Times New Roman" w:hAnsi="Times New Roman" w:eastAsia="Times New Roman" w:ascii="Times New Roman"/>
          <w:sz w:val="24"/>
          <w:rtl w:val="0"/>
        </w:rPr>
        <w:t xml:space="preserve">bservations and personal experience                                           </w:t>
        <w:tab/>
        <w:t xml:space="preserve">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w:t>
      </w:r>
      <w:r w:rsidRPr="00000000" w:rsidR="00000000" w:rsidDel="00000000">
        <w:rPr>
          <w:rFonts w:cs="Times New Roman" w:hAnsi="Times New Roman" w:eastAsia="Times New Roman" w:ascii="Times New Roman"/>
          <w:sz w:val="24"/>
          <w:rtl w:val="0"/>
        </w:rPr>
        <w:t xml:space="preserve">hilosophy and psychology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H</w:t>
      </w:r>
      <w:r w:rsidRPr="00000000" w:rsidR="00000000" w:rsidDel="00000000">
        <w:rPr>
          <w:rFonts w:cs="Times New Roman" w:hAnsi="Times New Roman" w:eastAsia="Times New Roman" w:ascii="Times New Roman"/>
          <w:sz w:val="24"/>
          <w:rtl w:val="0"/>
        </w:rPr>
        <w:t xml:space="preserve">istory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E</w:t>
      </w:r>
      <w:r w:rsidRPr="00000000" w:rsidR="00000000" w:rsidDel="00000000">
        <w:rPr>
          <w:rFonts w:cs="Times New Roman" w:hAnsi="Times New Roman" w:eastAsia="Times New Roman" w:ascii="Times New Roman"/>
          <w:sz w:val="24"/>
          <w:rtl w:val="0"/>
        </w:rPr>
        <w:t xml:space="preserve">ntertainment and pop culture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R</w:t>
      </w:r>
      <w:r w:rsidRPr="00000000" w:rsidR="00000000" w:rsidDel="00000000">
        <w:rPr>
          <w:rFonts w:cs="Times New Roman" w:hAnsi="Times New Roman" w:eastAsia="Times New Roman" w:ascii="Times New Roman"/>
          <w:sz w:val="24"/>
          <w:rtl w:val="0"/>
        </w:rPr>
        <w:t xml:space="preserve">eadings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w:t>
      </w:r>
      <w:r w:rsidRPr="00000000" w:rsidR="00000000" w:rsidDel="00000000">
        <w:rPr>
          <w:rFonts w:cs="Times New Roman" w:hAnsi="Times New Roman" w:eastAsia="Times New Roman" w:ascii="Times New Roman"/>
          <w:sz w:val="24"/>
          <w:rtl w:val="0"/>
        </w:rPr>
        <w:t xml:space="preserve">cience and technology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Prompt:</w:t>
      </w:r>
      <w:r w:rsidRPr="00000000" w:rsidR="00000000" w:rsidDel="00000000">
        <w:rPr>
          <w:rFonts w:cs="Times New Roman" w:hAnsi="Times New Roman" w:eastAsia="Times New Roman" w:ascii="Times New Roman"/>
          <w:sz w:val="24"/>
          <w:rtl w:val="0"/>
        </w:rPr>
        <w:t xml:space="preserve">  A weekly feature of </w:t>
      </w:r>
      <w:r w:rsidRPr="00000000" w:rsidR="00000000" w:rsidDel="00000000">
        <w:rPr>
          <w:rFonts w:cs="Times New Roman" w:hAnsi="Times New Roman" w:eastAsia="Times New Roman" w:ascii="Times New Roman"/>
          <w:i w:val="1"/>
          <w:sz w:val="24"/>
          <w:rtl w:val="0"/>
        </w:rPr>
        <w:t xml:space="preserve">The New York Times Magazine</w:t>
      </w:r>
      <w:r w:rsidRPr="00000000" w:rsidR="00000000" w:rsidDel="00000000">
        <w:rPr>
          <w:rFonts w:cs="Times New Roman" w:hAnsi="Times New Roman" w:eastAsia="Times New Roman" w:ascii="Times New Roman"/>
          <w:sz w:val="24"/>
          <w:rtl w:val="0"/>
        </w:rPr>
        <w:t xml:space="preserve"> is a column by Randy Cohen called, “The Ethicist,” in which people raise ethical questions to which Cohen provides answers. The question below is from the column that appeared on April 4, 2003.</w:t>
      </w:r>
    </w:p>
    <w:p w:rsidP="00000000" w:rsidRPr="00000000" w:rsidR="00000000" w:rsidDel="00000000" w:rsidRDefault="00000000">
      <w:pPr>
        <w:ind w:left="720" w:firstLine="0" w:right="1260"/>
        <w:contextualSpacing w:val="0"/>
      </w:pPr>
      <w:r w:rsidRPr="00000000" w:rsidR="00000000" w:rsidDel="00000000">
        <w:rPr>
          <w:rtl w:val="0"/>
        </w:rPr>
      </w:r>
    </w:p>
    <w:p w:rsidP="00000000" w:rsidRPr="00000000" w:rsidR="00000000" w:rsidDel="00000000" w:rsidRDefault="00000000">
      <w:pPr>
        <w:ind w:left="720" w:firstLine="0" w:right="1260"/>
        <w:contextualSpacing w:val="0"/>
      </w:pPr>
      <w:r w:rsidRPr="00000000" w:rsidR="00000000" w:rsidDel="00000000">
        <w:rPr>
          <w:rFonts w:cs="Times New Roman" w:hAnsi="Times New Roman" w:eastAsia="Times New Roman" w:ascii="Times New Roman"/>
          <w:rtl w:val="0"/>
        </w:rPr>
        <w:t xml:space="preserve">At my high school, various clubs and organizations sponsor charity drives, asking students to bring in money, food, and clothing. Some teachers offer bonus points on tests and final averages as incentive to participate. Some parents believe that thi send a morally wrong message, undermining the value of charity as a selfless act. Is the exchange of donations for grades O.K.?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The practice of offering incentives for charitable acts is widespread, from school projects to fund drives by organizations such as public television stations, to federal income tax deductions for contributions to charities. In a well-written essay, develop a position on the ethics of offering incentives for charitable acts. Support your position with evidence from you reading, observation, and/or experience.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Assignment: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u w:val="single"/>
          <w:rtl w:val="0"/>
        </w:rPr>
        <w:t xml:space="preserve">Create and Outline</w:t>
      </w:r>
      <w:r w:rsidRPr="00000000" w:rsidR="00000000" w:rsidDel="00000000">
        <w:rPr>
          <w:rFonts w:cs="Times New Roman" w:hAnsi="Times New Roman" w:eastAsia="Times New Roman" w:ascii="Times New Roman"/>
          <w:sz w:val="24"/>
          <w:rtl w:val="0"/>
        </w:rPr>
        <w:t xml:space="preserve"> for an Argument of Evaluation Essay. Use this paper (and the back). Come up with specific Gophers (above) to support your argument.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 2007 Prompt.docx</dc:title>
</cp:coreProperties>
</file>