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C09" w:rsidRDefault="004B0C09" w:rsidP="004B0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0"/>
          <w:szCs w:val="20"/>
        </w:rPr>
      </w:pPr>
      <w:r>
        <w:rPr>
          <w:rFonts w:ascii="Garamond" w:hAnsi="Garamond" w:cs="Garamond"/>
          <w:sz w:val="20"/>
          <w:szCs w:val="20"/>
        </w:rPr>
        <w:t xml:space="preserve">In this essay you will research a specific example of inequity and its effect on </w:t>
      </w:r>
      <w:r>
        <w:rPr>
          <w:rFonts w:ascii="Garamond" w:hAnsi="Garamond" w:cs="Garamond"/>
          <w:sz w:val="20"/>
          <w:szCs w:val="20"/>
        </w:rPr>
        <w:t>education, politics, standard of living, or the pursuit of happiness.</w:t>
      </w:r>
    </w:p>
    <w:p w:rsidR="004B0C09" w:rsidRDefault="004B0C09" w:rsidP="004B0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0"/>
          <w:szCs w:val="20"/>
        </w:rPr>
      </w:pPr>
    </w:p>
    <w:p w:rsidR="004B0C09" w:rsidRDefault="004B0C09" w:rsidP="004B0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0"/>
          <w:szCs w:val="20"/>
        </w:rPr>
      </w:pPr>
      <w:r>
        <w:rPr>
          <w:rFonts w:ascii="Garamond" w:hAnsi="Garamond" w:cs="Garamond"/>
          <w:sz w:val="20"/>
          <w:szCs w:val="20"/>
        </w:rPr>
        <w:t xml:space="preserve">Before you begin your essay, you must identify an area of inequity you would like to explore in relation to </w:t>
      </w:r>
      <w:r>
        <w:rPr>
          <w:rFonts w:ascii="Garamond" w:hAnsi="Garamond" w:cs="Garamond"/>
          <w:sz w:val="20"/>
          <w:szCs w:val="20"/>
        </w:rPr>
        <w:t>one of the four topics</w:t>
      </w:r>
      <w:r>
        <w:rPr>
          <w:rFonts w:ascii="Garamond" w:hAnsi="Garamond" w:cs="Garamond"/>
          <w:sz w:val="20"/>
          <w:szCs w:val="20"/>
        </w:rPr>
        <w:t xml:space="preserve">. Then, you will dig deeper to find a root cause of this inequity. In this way, you can focus your essay onto something manageable. It is hard to describe all the effects of poverty; this becomes much easier if you focus on housing patterns and trends or downward pressure on wages. </w:t>
      </w:r>
    </w:p>
    <w:p w:rsidR="004B0C09" w:rsidRDefault="004B0C09" w:rsidP="004B0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0"/>
          <w:szCs w:val="20"/>
        </w:rPr>
      </w:pPr>
    </w:p>
    <w:p w:rsidR="004B0C09" w:rsidRDefault="004B0C09" w:rsidP="004B0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0"/>
          <w:szCs w:val="20"/>
        </w:rPr>
      </w:pPr>
      <w:r>
        <w:rPr>
          <w:rFonts w:ascii="Garamond" w:hAnsi="Garamond" w:cs="Garamond"/>
          <w:sz w:val="20"/>
          <w:szCs w:val="20"/>
          <w:u w:val="single"/>
        </w:rPr>
        <w:t xml:space="preserve">Your position (thesis) will be a.) </w:t>
      </w:r>
      <w:proofErr w:type="gramStart"/>
      <w:r>
        <w:rPr>
          <w:rFonts w:ascii="Garamond" w:hAnsi="Garamond" w:cs="Garamond"/>
          <w:sz w:val="20"/>
          <w:szCs w:val="20"/>
          <w:u w:val="single"/>
        </w:rPr>
        <w:t>that</w:t>
      </w:r>
      <w:proofErr w:type="gramEnd"/>
      <w:r>
        <w:rPr>
          <w:rFonts w:ascii="Garamond" w:hAnsi="Garamond" w:cs="Garamond"/>
          <w:sz w:val="20"/>
          <w:szCs w:val="20"/>
          <w:u w:val="single"/>
        </w:rPr>
        <w:t xml:space="preserve"> equity issue </w:t>
      </w:r>
      <w:r>
        <w:rPr>
          <w:rFonts w:ascii="Garamond" w:hAnsi="Garamond" w:cs="Garamond"/>
          <w:i/>
          <w:iCs/>
          <w:sz w:val="20"/>
          <w:szCs w:val="20"/>
          <w:u w:val="single"/>
        </w:rPr>
        <w:t>x</w:t>
      </w:r>
      <w:r>
        <w:rPr>
          <w:rFonts w:ascii="Garamond" w:hAnsi="Garamond" w:cs="Garamond"/>
          <w:sz w:val="20"/>
          <w:szCs w:val="20"/>
          <w:u w:val="single"/>
        </w:rPr>
        <w:t xml:space="preserve"> exists and b.) </w:t>
      </w:r>
      <w:proofErr w:type="gramStart"/>
      <w:r>
        <w:rPr>
          <w:rFonts w:ascii="Garamond" w:hAnsi="Garamond" w:cs="Garamond"/>
          <w:sz w:val="20"/>
          <w:szCs w:val="20"/>
          <w:u w:val="single"/>
        </w:rPr>
        <w:t>attempts</w:t>
      </w:r>
      <w:proofErr w:type="gramEnd"/>
      <w:r>
        <w:rPr>
          <w:rFonts w:ascii="Garamond" w:hAnsi="Garamond" w:cs="Garamond"/>
          <w:sz w:val="20"/>
          <w:szCs w:val="20"/>
          <w:u w:val="single"/>
        </w:rPr>
        <w:t xml:space="preserve"> to improve </w:t>
      </w:r>
      <w:r>
        <w:rPr>
          <w:rFonts w:ascii="Garamond" w:hAnsi="Garamond" w:cs="Garamond"/>
          <w:i/>
          <w:iCs/>
          <w:sz w:val="20"/>
          <w:szCs w:val="20"/>
          <w:u w:val="single"/>
        </w:rPr>
        <w:t>x</w:t>
      </w:r>
      <w:r>
        <w:rPr>
          <w:rFonts w:ascii="Garamond" w:hAnsi="Garamond" w:cs="Garamond"/>
          <w:sz w:val="20"/>
          <w:szCs w:val="20"/>
          <w:u w:val="single"/>
        </w:rPr>
        <w:t xml:space="preserve"> have been successful/unsuccessful because....</w:t>
      </w:r>
    </w:p>
    <w:p w:rsidR="004B0C09" w:rsidRDefault="004B0C09" w:rsidP="004B0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0"/>
          <w:szCs w:val="20"/>
        </w:rPr>
      </w:pPr>
    </w:p>
    <w:p w:rsidR="004B0C09" w:rsidRDefault="004B0C09" w:rsidP="004B0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0"/>
          <w:szCs w:val="20"/>
        </w:rPr>
      </w:pPr>
      <w:r>
        <w:rPr>
          <w:rFonts w:ascii="Garamond" w:hAnsi="Garamond" w:cs="Garamond"/>
          <w:sz w:val="20"/>
          <w:szCs w:val="20"/>
        </w:rPr>
        <w:t xml:space="preserve">Once you have done this, the research can begin. You will need to find data that proves there is an equity issue. You will also need to find sources that discuss the causes of this equity source. Lastly, you will use sources that discuss potential, proposed, or enacted solutions to balance out the inequity. </w:t>
      </w:r>
      <w:r w:rsidRPr="004B0C09">
        <w:rPr>
          <w:rFonts w:ascii="Garamond" w:hAnsi="Garamond" w:cs="Garamond"/>
          <w:b/>
          <w:sz w:val="20"/>
          <w:szCs w:val="20"/>
        </w:rPr>
        <w:t>To get a B, you can use no fewer than four sources</w:t>
      </w:r>
      <w:r>
        <w:rPr>
          <w:rFonts w:ascii="Garamond" w:hAnsi="Garamond" w:cs="Garamond"/>
          <w:sz w:val="20"/>
          <w:szCs w:val="20"/>
        </w:rPr>
        <w:t>. You will be required to use multiple quotes or paraphrases in each supporting paragraph you write.</w:t>
      </w:r>
    </w:p>
    <w:p w:rsidR="004B0C09" w:rsidRDefault="004B0C09" w:rsidP="004B0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0"/>
          <w:szCs w:val="20"/>
        </w:rPr>
      </w:pPr>
    </w:p>
    <w:p w:rsidR="004B0C09" w:rsidRDefault="004B0C09" w:rsidP="004B0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0"/>
          <w:szCs w:val="20"/>
        </w:rPr>
      </w:pPr>
      <w:r>
        <w:rPr>
          <w:rFonts w:ascii="Garamond" w:hAnsi="Garamond" w:cs="Garamond"/>
          <w:sz w:val="20"/>
          <w:szCs w:val="20"/>
        </w:rPr>
        <w:t>Your paper should be 2000–3</w:t>
      </w:r>
      <w:r>
        <w:rPr>
          <w:rFonts w:ascii="Garamond" w:hAnsi="Garamond" w:cs="Garamond"/>
          <w:sz w:val="20"/>
          <w:szCs w:val="20"/>
        </w:rPr>
        <w:t>000 words, not including your Works Cited. This is roughly equivalent to 5–</w:t>
      </w:r>
      <w:r>
        <w:rPr>
          <w:rFonts w:ascii="Garamond" w:hAnsi="Garamond" w:cs="Garamond"/>
          <w:sz w:val="20"/>
          <w:szCs w:val="20"/>
        </w:rPr>
        <w:t xml:space="preserve">7 </w:t>
      </w:r>
      <w:r>
        <w:rPr>
          <w:rFonts w:ascii="Garamond" w:hAnsi="Garamond" w:cs="Garamond"/>
          <w:sz w:val="20"/>
          <w:szCs w:val="20"/>
        </w:rPr>
        <w:t xml:space="preserve">typed, double-spaced pages in MLA format. A </w:t>
      </w:r>
      <w:r>
        <w:rPr>
          <w:rFonts w:ascii="Garamond" w:hAnsi="Garamond" w:cs="Garamond"/>
          <w:i/>
          <w:iCs/>
          <w:sz w:val="20"/>
          <w:szCs w:val="20"/>
        </w:rPr>
        <w:t>possible</w:t>
      </w:r>
      <w:r>
        <w:rPr>
          <w:rFonts w:ascii="Garamond" w:hAnsi="Garamond" w:cs="Garamond"/>
          <w:sz w:val="20"/>
          <w:szCs w:val="20"/>
        </w:rPr>
        <w:t xml:space="preserve"> outline would look like this:</w:t>
      </w:r>
    </w:p>
    <w:p w:rsidR="004B0C09" w:rsidRDefault="004B0C09" w:rsidP="004B0C09">
      <w:pPr>
        <w:widowControl w:val="0"/>
        <w:numPr>
          <w:ilvl w:val="0"/>
          <w:numId w:val="1"/>
        </w:numPr>
        <w:tabs>
          <w:tab w:val="left" w:pos="20"/>
          <w:tab w:val="left" w:pos="2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36" w:hanging="936"/>
        <w:rPr>
          <w:rFonts w:ascii="Garamond" w:hAnsi="Garamond" w:cs="Garamond"/>
          <w:sz w:val="20"/>
          <w:szCs w:val="20"/>
        </w:rPr>
      </w:pPr>
      <w:r>
        <w:rPr>
          <w:rFonts w:ascii="Garamond" w:hAnsi="Garamond" w:cs="Garamond"/>
          <w:sz w:val="20"/>
          <w:szCs w:val="20"/>
        </w:rPr>
        <w:t>Introduction ≈ 1/2 page</w:t>
      </w:r>
    </w:p>
    <w:p w:rsidR="004B0C09" w:rsidRDefault="004B0C09" w:rsidP="004B0C09">
      <w:pPr>
        <w:widowControl w:val="0"/>
        <w:numPr>
          <w:ilvl w:val="0"/>
          <w:numId w:val="1"/>
        </w:numPr>
        <w:tabs>
          <w:tab w:val="left" w:pos="20"/>
          <w:tab w:val="left" w:pos="2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36" w:hanging="936"/>
        <w:rPr>
          <w:rFonts w:ascii="Garamond" w:hAnsi="Garamond" w:cs="Garamond"/>
          <w:sz w:val="20"/>
          <w:szCs w:val="20"/>
        </w:rPr>
      </w:pPr>
      <w:r>
        <w:rPr>
          <w:rFonts w:ascii="Garamond" w:hAnsi="Garamond" w:cs="Garamond"/>
          <w:sz w:val="20"/>
          <w:szCs w:val="20"/>
        </w:rPr>
        <w:t>Explain the equity issue (prove it exists through research) ≈ 1 page</w:t>
      </w:r>
    </w:p>
    <w:p w:rsidR="004B0C09" w:rsidRDefault="004B0C09" w:rsidP="004B0C09">
      <w:pPr>
        <w:widowControl w:val="0"/>
        <w:numPr>
          <w:ilvl w:val="0"/>
          <w:numId w:val="1"/>
        </w:numPr>
        <w:tabs>
          <w:tab w:val="left" w:pos="20"/>
          <w:tab w:val="left" w:pos="2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 w:hanging="216"/>
        <w:rPr>
          <w:rFonts w:ascii="Garamond" w:hAnsi="Garamond" w:cs="Garamond"/>
          <w:sz w:val="20"/>
          <w:szCs w:val="20"/>
        </w:rPr>
      </w:pPr>
      <w:r>
        <w:rPr>
          <w:rFonts w:ascii="Garamond" w:hAnsi="Garamond" w:cs="Garamond"/>
          <w:sz w:val="20"/>
          <w:szCs w:val="20"/>
        </w:rPr>
        <w:t>Explain how the equity issue occurred, how it works, why it perpetuates itself ≈ 1 page</w:t>
      </w:r>
    </w:p>
    <w:p w:rsidR="004B0C09" w:rsidRDefault="004B0C09" w:rsidP="004B0C09">
      <w:pPr>
        <w:widowControl w:val="0"/>
        <w:numPr>
          <w:ilvl w:val="0"/>
          <w:numId w:val="1"/>
        </w:numPr>
        <w:tabs>
          <w:tab w:val="left" w:pos="20"/>
          <w:tab w:val="left" w:pos="2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 w:hanging="216"/>
        <w:rPr>
          <w:rFonts w:ascii="Garamond" w:hAnsi="Garamond" w:cs="Garamond"/>
          <w:sz w:val="20"/>
          <w:szCs w:val="20"/>
        </w:rPr>
      </w:pPr>
      <w:r>
        <w:rPr>
          <w:rFonts w:ascii="Garamond" w:hAnsi="Garamond" w:cs="Garamond"/>
          <w:sz w:val="20"/>
          <w:szCs w:val="20"/>
        </w:rPr>
        <w:t>Solutions to the equity issue and their effectiveness (or lack of) ≈ 2 pages</w:t>
      </w:r>
    </w:p>
    <w:p w:rsidR="004B0C09" w:rsidRDefault="004B0C09" w:rsidP="004B0C09">
      <w:pPr>
        <w:widowControl w:val="0"/>
        <w:numPr>
          <w:ilvl w:val="0"/>
          <w:numId w:val="1"/>
        </w:numPr>
        <w:tabs>
          <w:tab w:val="left" w:pos="20"/>
          <w:tab w:val="left" w:pos="23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 w:hanging="216"/>
        <w:rPr>
          <w:rFonts w:ascii="Garamond" w:hAnsi="Garamond" w:cs="Garamond"/>
          <w:sz w:val="20"/>
          <w:szCs w:val="20"/>
        </w:rPr>
      </w:pPr>
      <w:r>
        <w:rPr>
          <w:rFonts w:ascii="Garamond" w:hAnsi="Garamond" w:cs="Garamond"/>
          <w:sz w:val="20"/>
          <w:szCs w:val="20"/>
        </w:rPr>
        <w:t>Conclusion ≈ 1/2 pages</w:t>
      </w:r>
    </w:p>
    <w:p w:rsidR="004B0C09" w:rsidRPr="004B0C09" w:rsidRDefault="004B0C09" w:rsidP="004B0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0"/>
          <w:szCs w:val="20"/>
        </w:rPr>
      </w:pPr>
      <w:r>
        <w:rPr>
          <w:rFonts w:ascii="Garamond" w:hAnsi="Garamond" w:cs="Garamond"/>
          <w:sz w:val="20"/>
          <w:szCs w:val="20"/>
        </w:rPr>
        <w:t xml:space="preserve">This research paper —which is really just an expanded synthesis essay — must be typed in MLA formatting and a normal typeface like Garamond, Georgia, or some variant of Times. </w:t>
      </w:r>
      <w:r>
        <w:rPr>
          <w:rFonts w:ascii="Garamond" w:hAnsi="Garamond" w:cs="Garamond"/>
          <w:sz w:val="20"/>
          <w:szCs w:val="20"/>
        </w:rPr>
        <w:t>This</w:t>
      </w:r>
      <w:r>
        <w:rPr>
          <w:rFonts w:ascii="Garamond" w:hAnsi="Garamond" w:cs="Garamond"/>
          <w:sz w:val="20"/>
          <w:szCs w:val="20"/>
        </w:rPr>
        <w:t xml:space="preserve"> paper</w:t>
      </w:r>
      <w:r>
        <w:rPr>
          <w:rFonts w:ascii="Garamond" w:hAnsi="Garamond" w:cs="Garamond"/>
          <w:sz w:val="20"/>
          <w:szCs w:val="20"/>
        </w:rPr>
        <w:t xml:space="preserve"> must</w:t>
      </w:r>
      <w:r>
        <w:rPr>
          <w:rFonts w:ascii="Garamond" w:hAnsi="Garamond" w:cs="Garamond"/>
          <w:sz w:val="20"/>
          <w:szCs w:val="20"/>
        </w:rPr>
        <w:t xml:space="preserve"> be submitted electronically using svvsd.org Google docs; electronic papers need not be double-spaced. This paper is due for a summati</w:t>
      </w:r>
      <w:r>
        <w:rPr>
          <w:rFonts w:ascii="Garamond" w:hAnsi="Garamond" w:cs="Garamond"/>
          <w:sz w:val="20"/>
          <w:szCs w:val="20"/>
        </w:rPr>
        <w:t>ve grade on Wednesday, February 12</w:t>
      </w:r>
      <w:r>
        <w:rPr>
          <w:rFonts w:ascii="Garamond" w:hAnsi="Garamond" w:cs="Garamond"/>
          <w:sz w:val="20"/>
          <w:szCs w:val="20"/>
        </w:rPr>
        <w:t>.</w:t>
      </w:r>
    </w:p>
    <w:p w:rsidR="004B0C09" w:rsidRDefault="004B0C09" w:rsidP="004B0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Garamond"/>
          <w:b/>
          <w:bCs/>
          <w:sz w:val="20"/>
          <w:szCs w:val="20"/>
        </w:rPr>
      </w:pPr>
      <w:r>
        <w:rPr>
          <w:rFonts w:ascii="Garamond" w:hAnsi="Garamond" w:cs="Garamond"/>
          <w:b/>
          <w:bCs/>
          <w:sz w:val="20"/>
          <w:szCs w:val="20"/>
        </w:rPr>
        <w:t>Rubric</w:t>
      </w:r>
    </w:p>
    <w:p w:rsidR="004B0C09" w:rsidRDefault="004B0C09" w:rsidP="004B0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bl>
      <w:tblPr>
        <w:tblW w:w="10668" w:type="dxa"/>
        <w:tblInd w:w="108" w:type="dxa"/>
        <w:tblBorders>
          <w:top w:val="nil"/>
          <w:left w:val="nil"/>
          <w:right w:val="nil"/>
        </w:tblBorders>
        <w:tblLayout w:type="fixed"/>
        <w:tblLook w:val="0000" w:firstRow="0" w:lastRow="0" w:firstColumn="0" w:lastColumn="0" w:noHBand="0" w:noVBand="0"/>
      </w:tblPr>
      <w:tblGrid>
        <w:gridCol w:w="1350"/>
        <w:gridCol w:w="2024"/>
        <w:gridCol w:w="2523"/>
        <w:gridCol w:w="2341"/>
        <w:gridCol w:w="2430"/>
      </w:tblGrid>
      <w:tr w:rsidR="004B0C09" w:rsidTr="004B0C09">
        <w:tblPrEx>
          <w:tblCellMar>
            <w:top w:w="0" w:type="dxa"/>
            <w:bottom w:w="0" w:type="dxa"/>
          </w:tblCellMar>
        </w:tblPrEx>
        <w:tc>
          <w:tcPr>
            <w:tcW w:w="1350" w:type="dxa"/>
            <w:tcBorders>
              <w:top w:val="single" w:sz="8" w:space="0" w:color="auto"/>
              <w:left w:val="single" w:sz="8" w:space="0" w:color="auto"/>
              <w:bottom w:val="single" w:sz="8" w:space="0" w:color="auto"/>
              <w:right w:val="single" w:sz="8" w:space="0" w:color="auto"/>
            </w:tcBorders>
          </w:tcPr>
          <w:p w:rsidR="004B0C09" w:rsidRDefault="004B0C09" w:rsidP="004B0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18" w:right="890"/>
              <w:rPr>
                <w:rFonts w:ascii="Helvetica" w:hAnsi="Helvetica" w:cs="Helvetica"/>
                <w:kern w:val="1"/>
              </w:rPr>
            </w:pPr>
            <w:bookmarkStart w:id="0" w:name="_GoBack"/>
            <w:bookmarkEnd w:id="0"/>
          </w:p>
        </w:tc>
        <w:tc>
          <w:tcPr>
            <w:tcW w:w="2024" w:type="dxa"/>
            <w:tcBorders>
              <w:top w:val="single" w:sz="8" w:space="0" w:color="auto"/>
              <w:left w:val="single" w:sz="8" w:space="0" w:color="auto"/>
              <w:bottom w:val="single" w:sz="8" w:space="0" w:color="auto"/>
              <w:right w:val="single" w:sz="8" w:space="0" w:color="auto"/>
            </w:tcBorders>
          </w:tcPr>
          <w:p w:rsidR="004B0C09" w:rsidRDefault="004B0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Helvetica" w:hAnsi="Helvetica" w:cs="Helvetica"/>
                <w:kern w:val="1"/>
              </w:rPr>
            </w:pPr>
            <w:r>
              <w:rPr>
                <w:rFonts w:ascii="Garamond" w:hAnsi="Garamond" w:cs="Garamond"/>
                <w:b/>
                <w:bCs/>
                <w:sz w:val="18"/>
                <w:szCs w:val="18"/>
              </w:rPr>
              <w:t>A (100%)</w:t>
            </w:r>
          </w:p>
        </w:tc>
        <w:tc>
          <w:tcPr>
            <w:tcW w:w="2523" w:type="dxa"/>
            <w:tcBorders>
              <w:top w:val="single" w:sz="8" w:space="0" w:color="auto"/>
              <w:left w:val="single" w:sz="8" w:space="0" w:color="auto"/>
              <w:bottom w:val="single" w:sz="8" w:space="0" w:color="auto"/>
              <w:right w:val="single" w:sz="8" w:space="0" w:color="auto"/>
            </w:tcBorders>
          </w:tcPr>
          <w:p w:rsidR="004B0C09" w:rsidRDefault="004B0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Helvetica" w:hAnsi="Helvetica" w:cs="Helvetica"/>
                <w:kern w:val="1"/>
              </w:rPr>
            </w:pPr>
            <w:r>
              <w:rPr>
                <w:rFonts w:ascii="Garamond" w:hAnsi="Garamond" w:cs="Garamond"/>
                <w:b/>
                <w:bCs/>
                <w:sz w:val="18"/>
                <w:szCs w:val="18"/>
              </w:rPr>
              <w:t>B (85%)</w:t>
            </w:r>
          </w:p>
        </w:tc>
        <w:tc>
          <w:tcPr>
            <w:tcW w:w="2341" w:type="dxa"/>
            <w:tcBorders>
              <w:top w:val="single" w:sz="8" w:space="0" w:color="auto"/>
              <w:left w:val="single" w:sz="8" w:space="0" w:color="auto"/>
              <w:bottom w:val="single" w:sz="8" w:space="0" w:color="auto"/>
              <w:right w:val="single" w:sz="8" w:space="0" w:color="auto"/>
            </w:tcBorders>
          </w:tcPr>
          <w:p w:rsidR="004B0C09" w:rsidRDefault="004B0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Helvetica" w:hAnsi="Helvetica" w:cs="Helvetica"/>
                <w:kern w:val="1"/>
              </w:rPr>
            </w:pPr>
            <w:r>
              <w:rPr>
                <w:rFonts w:ascii="Garamond" w:hAnsi="Garamond" w:cs="Garamond"/>
                <w:b/>
                <w:bCs/>
                <w:sz w:val="18"/>
                <w:szCs w:val="18"/>
              </w:rPr>
              <w:t>C (70%)</w:t>
            </w:r>
          </w:p>
        </w:tc>
        <w:tc>
          <w:tcPr>
            <w:tcW w:w="2430" w:type="dxa"/>
            <w:tcBorders>
              <w:top w:val="single" w:sz="8" w:space="0" w:color="auto"/>
              <w:left w:val="single" w:sz="8" w:space="0" w:color="auto"/>
              <w:bottom w:val="single" w:sz="8" w:space="0" w:color="auto"/>
              <w:right w:val="single" w:sz="8" w:space="0" w:color="auto"/>
            </w:tcBorders>
          </w:tcPr>
          <w:p w:rsidR="004B0C09" w:rsidRDefault="004B0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Helvetica" w:hAnsi="Helvetica" w:cs="Helvetica"/>
                <w:kern w:val="1"/>
              </w:rPr>
            </w:pPr>
            <w:r>
              <w:rPr>
                <w:rFonts w:ascii="Garamond" w:hAnsi="Garamond" w:cs="Garamond"/>
                <w:b/>
                <w:bCs/>
                <w:sz w:val="18"/>
                <w:szCs w:val="18"/>
              </w:rPr>
              <w:t>F (≤55%)</w:t>
            </w:r>
          </w:p>
        </w:tc>
      </w:tr>
      <w:tr w:rsidR="004B0C09" w:rsidTr="004B0C09">
        <w:tblPrEx>
          <w:tblBorders>
            <w:top w:val="none" w:sz="0" w:space="0" w:color="auto"/>
          </w:tblBorders>
          <w:tblCellMar>
            <w:top w:w="0" w:type="dxa"/>
            <w:bottom w:w="0" w:type="dxa"/>
          </w:tblCellMar>
        </w:tblPrEx>
        <w:tc>
          <w:tcPr>
            <w:tcW w:w="1350" w:type="dxa"/>
            <w:tcBorders>
              <w:top w:val="single" w:sz="8" w:space="0" w:color="auto"/>
              <w:left w:val="single" w:sz="8" w:space="0" w:color="auto"/>
              <w:bottom w:val="single" w:sz="8" w:space="0" w:color="auto"/>
              <w:right w:val="single" w:sz="8" w:space="0" w:color="auto"/>
            </w:tcBorders>
          </w:tcPr>
          <w:p w:rsidR="004B0C09" w:rsidRDefault="004B0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18"/>
                <w:szCs w:val="18"/>
              </w:rPr>
            </w:pPr>
            <w:proofErr w:type="gramStart"/>
            <w:r>
              <w:rPr>
                <w:rFonts w:ascii="Garamond" w:hAnsi="Garamond" w:cs="Garamond"/>
                <w:b/>
                <w:bCs/>
                <w:sz w:val="18"/>
                <w:szCs w:val="18"/>
              </w:rPr>
              <w:t>thesis</w:t>
            </w:r>
            <w:proofErr w:type="gramEnd"/>
            <w:r>
              <w:rPr>
                <w:rFonts w:ascii="Garamond" w:hAnsi="Garamond" w:cs="Garamond"/>
                <w:b/>
                <w:bCs/>
                <w:sz w:val="18"/>
                <w:szCs w:val="18"/>
              </w:rPr>
              <w:t>/</w:t>
            </w:r>
            <w:r>
              <w:rPr>
                <w:rFonts w:ascii="Garamond" w:hAnsi="Garamond" w:cs="Garamond"/>
                <w:b/>
                <w:bCs/>
                <w:sz w:val="18"/>
                <w:szCs w:val="18"/>
              </w:rPr>
              <w:t xml:space="preserve"> </w:t>
            </w:r>
            <w:r>
              <w:rPr>
                <w:rFonts w:ascii="Garamond" w:hAnsi="Garamond" w:cs="Garamond"/>
                <w:b/>
                <w:bCs/>
                <w:sz w:val="18"/>
                <w:szCs w:val="18"/>
              </w:rPr>
              <w:t>claims and argument</w:t>
            </w:r>
          </w:p>
          <w:p w:rsidR="004B0C09" w:rsidRDefault="004B0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18"/>
                <w:szCs w:val="18"/>
              </w:rPr>
            </w:pPr>
          </w:p>
          <w:p w:rsidR="004B0C09" w:rsidRDefault="004B0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Garamond" w:hAnsi="Garamond" w:cs="Garamond"/>
                <w:b/>
                <w:bCs/>
                <w:sz w:val="18"/>
                <w:szCs w:val="18"/>
              </w:rPr>
              <w:t>35%</w:t>
            </w:r>
          </w:p>
        </w:tc>
        <w:tc>
          <w:tcPr>
            <w:tcW w:w="2024" w:type="dxa"/>
            <w:tcBorders>
              <w:top w:val="single" w:sz="8" w:space="0" w:color="auto"/>
              <w:left w:val="single" w:sz="8" w:space="0" w:color="auto"/>
              <w:bottom w:val="single" w:sz="8" w:space="0" w:color="auto"/>
              <w:right w:val="single" w:sz="8" w:space="0" w:color="auto"/>
            </w:tcBorders>
          </w:tcPr>
          <w:p w:rsidR="004B0C09" w:rsidRDefault="004B0C09">
            <w:pPr>
              <w:widowControl w:val="0"/>
              <w:numPr>
                <w:ilvl w:val="0"/>
                <w:numId w:val="2"/>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Garamond" w:hAnsi="Garamond" w:cs="Garamond"/>
                <w:sz w:val="18"/>
                <w:szCs w:val="18"/>
              </w:rPr>
            </w:pPr>
            <w:r>
              <w:rPr>
                <w:rFonts w:ascii="Garamond" w:hAnsi="Garamond" w:cs="Garamond"/>
                <w:sz w:val="18"/>
                <w:szCs w:val="18"/>
              </w:rPr>
              <w:t>Thesis is convincing, well-defined, effective</w:t>
            </w:r>
          </w:p>
          <w:p w:rsidR="004B0C09" w:rsidRDefault="004B0C09">
            <w:pPr>
              <w:widowControl w:val="0"/>
              <w:numPr>
                <w:ilvl w:val="0"/>
                <w:numId w:val="2"/>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Helvetica" w:hAnsi="Helvetica" w:cs="Helvetica"/>
                <w:kern w:val="1"/>
              </w:rPr>
            </w:pPr>
            <w:r>
              <w:rPr>
                <w:rFonts w:ascii="Garamond" w:hAnsi="Garamond" w:cs="Garamond"/>
                <w:sz w:val="18"/>
                <w:szCs w:val="18"/>
              </w:rPr>
              <w:t>Individual claims/supporting paragraphs form a cohesive, unified, relevant, and engaging argument</w:t>
            </w:r>
          </w:p>
        </w:tc>
        <w:tc>
          <w:tcPr>
            <w:tcW w:w="2523" w:type="dxa"/>
            <w:tcBorders>
              <w:top w:val="single" w:sz="8" w:space="0" w:color="auto"/>
              <w:left w:val="single" w:sz="8" w:space="0" w:color="auto"/>
              <w:bottom w:val="single" w:sz="8" w:space="0" w:color="auto"/>
              <w:right w:val="single" w:sz="8" w:space="0" w:color="auto"/>
            </w:tcBorders>
          </w:tcPr>
          <w:p w:rsidR="004B0C09" w:rsidRDefault="004B0C09">
            <w:pPr>
              <w:widowControl w:val="0"/>
              <w:numPr>
                <w:ilvl w:val="0"/>
                <w:numId w:val="3"/>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Garamond" w:hAnsi="Garamond" w:cs="Garamond"/>
                <w:sz w:val="18"/>
                <w:szCs w:val="18"/>
              </w:rPr>
            </w:pPr>
            <w:r>
              <w:rPr>
                <w:rFonts w:ascii="Garamond" w:hAnsi="Garamond" w:cs="Garamond"/>
                <w:sz w:val="18"/>
                <w:szCs w:val="18"/>
              </w:rPr>
              <w:t>Thesis is clear, adequate</w:t>
            </w:r>
          </w:p>
          <w:p w:rsidR="004B0C09" w:rsidRDefault="004B0C09">
            <w:pPr>
              <w:widowControl w:val="0"/>
              <w:numPr>
                <w:ilvl w:val="0"/>
                <w:numId w:val="3"/>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Helvetica" w:hAnsi="Helvetica" w:cs="Helvetica"/>
                <w:kern w:val="1"/>
              </w:rPr>
            </w:pPr>
            <w:r>
              <w:rPr>
                <w:rFonts w:ascii="Garamond" w:hAnsi="Garamond" w:cs="Garamond"/>
                <w:sz w:val="18"/>
                <w:szCs w:val="18"/>
              </w:rPr>
              <w:t>Individual claims/supporting paragraphs form a clear, supportive, adequate argument</w:t>
            </w:r>
          </w:p>
        </w:tc>
        <w:tc>
          <w:tcPr>
            <w:tcW w:w="2341" w:type="dxa"/>
            <w:tcBorders>
              <w:top w:val="single" w:sz="8" w:space="0" w:color="auto"/>
              <w:left w:val="single" w:sz="8" w:space="0" w:color="auto"/>
              <w:bottom w:val="single" w:sz="8" w:space="0" w:color="auto"/>
              <w:right w:val="single" w:sz="8" w:space="0" w:color="auto"/>
            </w:tcBorders>
          </w:tcPr>
          <w:p w:rsidR="004B0C09" w:rsidRDefault="004B0C09">
            <w:pPr>
              <w:widowControl w:val="0"/>
              <w:numPr>
                <w:ilvl w:val="0"/>
                <w:numId w:val="4"/>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Garamond" w:hAnsi="Garamond" w:cs="Garamond"/>
                <w:sz w:val="18"/>
                <w:szCs w:val="18"/>
              </w:rPr>
            </w:pPr>
            <w:r>
              <w:rPr>
                <w:rFonts w:ascii="Garamond" w:hAnsi="Garamond" w:cs="Garamond"/>
                <w:sz w:val="18"/>
                <w:szCs w:val="18"/>
              </w:rPr>
              <w:t>Thesis is underdeveloped, inadequate</w:t>
            </w:r>
          </w:p>
          <w:p w:rsidR="004B0C09" w:rsidRDefault="004B0C09">
            <w:pPr>
              <w:widowControl w:val="0"/>
              <w:numPr>
                <w:ilvl w:val="0"/>
                <w:numId w:val="4"/>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Helvetica" w:hAnsi="Helvetica" w:cs="Helvetica"/>
                <w:kern w:val="1"/>
              </w:rPr>
            </w:pPr>
            <w:r>
              <w:rPr>
                <w:rFonts w:ascii="Garamond" w:hAnsi="Garamond" w:cs="Garamond"/>
                <w:sz w:val="18"/>
                <w:szCs w:val="18"/>
              </w:rPr>
              <w:t>Individual claims/supporting paragraphs form a somewhat supportive, but also inadequate or unclear, argument</w:t>
            </w:r>
          </w:p>
        </w:tc>
        <w:tc>
          <w:tcPr>
            <w:tcW w:w="2430" w:type="dxa"/>
            <w:tcBorders>
              <w:top w:val="single" w:sz="8" w:space="0" w:color="auto"/>
              <w:left w:val="single" w:sz="8" w:space="0" w:color="auto"/>
              <w:bottom w:val="single" w:sz="8" w:space="0" w:color="auto"/>
              <w:right w:val="single" w:sz="8" w:space="0" w:color="auto"/>
            </w:tcBorders>
          </w:tcPr>
          <w:p w:rsidR="004B0C09" w:rsidRDefault="004B0C09">
            <w:pPr>
              <w:widowControl w:val="0"/>
              <w:numPr>
                <w:ilvl w:val="0"/>
                <w:numId w:val="5"/>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Garamond" w:hAnsi="Garamond" w:cs="Garamond"/>
                <w:sz w:val="18"/>
                <w:szCs w:val="18"/>
              </w:rPr>
            </w:pPr>
            <w:r>
              <w:rPr>
                <w:rFonts w:ascii="Garamond" w:hAnsi="Garamond" w:cs="Garamond"/>
                <w:sz w:val="18"/>
                <w:szCs w:val="18"/>
              </w:rPr>
              <w:t xml:space="preserve">Thesis is unclear, fails to answer the </w:t>
            </w:r>
            <w:proofErr w:type="spellStart"/>
            <w:r>
              <w:rPr>
                <w:rFonts w:ascii="Garamond" w:hAnsi="Garamond" w:cs="Garamond"/>
                <w:sz w:val="18"/>
                <w:szCs w:val="18"/>
              </w:rPr>
              <w:t>the</w:t>
            </w:r>
            <w:proofErr w:type="spellEnd"/>
            <w:r>
              <w:rPr>
                <w:rFonts w:ascii="Garamond" w:hAnsi="Garamond" w:cs="Garamond"/>
                <w:sz w:val="18"/>
                <w:szCs w:val="18"/>
              </w:rPr>
              <w:t xml:space="preserve"> essential question, or is missing entirely</w:t>
            </w:r>
          </w:p>
          <w:p w:rsidR="004B0C09" w:rsidRDefault="004B0C09">
            <w:pPr>
              <w:widowControl w:val="0"/>
              <w:numPr>
                <w:ilvl w:val="0"/>
                <w:numId w:val="5"/>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Helvetica" w:hAnsi="Helvetica" w:cs="Helvetica"/>
                <w:kern w:val="1"/>
              </w:rPr>
            </w:pPr>
            <w:r>
              <w:rPr>
                <w:rFonts w:ascii="Garamond" w:hAnsi="Garamond" w:cs="Garamond"/>
                <w:sz w:val="18"/>
                <w:szCs w:val="18"/>
              </w:rPr>
              <w:t>Individual claims/supporting paragraphs achieve little or no success in forming and supporting an argument</w:t>
            </w:r>
          </w:p>
        </w:tc>
      </w:tr>
      <w:tr w:rsidR="004B0C09" w:rsidTr="004B0C09">
        <w:tblPrEx>
          <w:tblBorders>
            <w:top w:val="none" w:sz="0" w:space="0" w:color="auto"/>
          </w:tblBorders>
          <w:tblCellMar>
            <w:top w:w="0" w:type="dxa"/>
            <w:bottom w:w="0" w:type="dxa"/>
          </w:tblCellMar>
        </w:tblPrEx>
        <w:tc>
          <w:tcPr>
            <w:tcW w:w="1350" w:type="dxa"/>
            <w:tcBorders>
              <w:top w:val="single" w:sz="8" w:space="0" w:color="auto"/>
              <w:left w:val="single" w:sz="8" w:space="0" w:color="auto"/>
              <w:bottom w:val="single" w:sz="8" w:space="0" w:color="auto"/>
              <w:right w:val="single" w:sz="8" w:space="0" w:color="auto"/>
            </w:tcBorders>
          </w:tcPr>
          <w:p w:rsidR="004B0C09" w:rsidRDefault="004B0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18"/>
                <w:szCs w:val="18"/>
              </w:rPr>
            </w:pPr>
            <w:proofErr w:type="gramStart"/>
            <w:r>
              <w:rPr>
                <w:rFonts w:ascii="Garamond" w:hAnsi="Garamond" w:cs="Garamond"/>
                <w:b/>
                <w:bCs/>
                <w:sz w:val="18"/>
                <w:szCs w:val="18"/>
              </w:rPr>
              <w:t>commentary</w:t>
            </w:r>
            <w:proofErr w:type="gramEnd"/>
            <w:r>
              <w:rPr>
                <w:rFonts w:ascii="Garamond" w:hAnsi="Garamond" w:cs="Garamond"/>
                <w:b/>
                <w:bCs/>
                <w:sz w:val="18"/>
                <w:szCs w:val="18"/>
              </w:rPr>
              <w:t xml:space="preserve"> and use of sources</w:t>
            </w:r>
          </w:p>
          <w:p w:rsidR="004B0C09" w:rsidRDefault="004B0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18"/>
                <w:szCs w:val="18"/>
              </w:rPr>
            </w:pPr>
          </w:p>
          <w:p w:rsidR="004B0C09" w:rsidRDefault="004B0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Garamond" w:hAnsi="Garamond" w:cs="Garamond"/>
                <w:b/>
                <w:bCs/>
                <w:sz w:val="18"/>
                <w:szCs w:val="18"/>
              </w:rPr>
              <w:t>35%</w:t>
            </w:r>
          </w:p>
        </w:tc>
        <w:tc>
          <w:tcPr>
            <w:tcW w:w="2024" w:type="dxa"/>
            <w:tcBorders>
              <w:top w:val="single" w:sz="8" w:space="0" w:color="auto"/>
              <w:left w:val="single" w:sz="8" w:space="0" w:color="auto"/>
              <w:bottom w:val="single" w:sz="8" w:space="0" w:color="auto"/>
              <w:right w:val="single" w:sz="8" w:space="0" w:color="auto"/>
            </w:tcBorders>
          </w:tcPr>
          <w:p w:rsidR="004B0C09" w:rsidRDefault="004B0C09">
            <w:pPr>
              <w:widowControl w:val="0"/>
              <w:numPr>
                <w:ilvl w:val="0"/>
                <w:numId w:val="6"/>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Garamond" w:hAnsi="Garamond" w:cs="Garamond"/>
                <w:sz w:val="18"/>
                <w:szCs w:val="18"/>
              </w:rPr>
            </w:pPr>
            <w:r>
              <w:rPr>
                <w:rFonts w:ascii="Garamond" w:hAnsi="Garamond" w:cs="Garamond"/>
                <w:sz w:val="18"/>
                <w:szCs w:val="18"/>
              </w:rPr>
              <w:t>Commentary is convincing and displays higher-level critical thinking</w:t>
            </w:r>
          </w:p>
          <w:p w:rsidR="004B0C09" w:rsidRDefault="004B0C09">
            <w:pPr>
              <w:widowControl w:val="0"/>
              <w:numPr>
                <w:ilvl w:val="0"/>
                <w:numId w:val="6"/>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Helvetica" w:hAnsi="Helvetica" w:cs="Helvetica"/>
                <w:kern w:val="1"/>
              </w:rPr>
            </w:pPr>
            <w:r>
              <w:rPr>
                <w:rFonts w:ascii="Garamond" w:hAnsi="Garamond" w:cs="Garamond"/>
                <w:sz w:val="18"/>
                <w:szCs w:val="18"/>
              </w:rPr>
              <w:t xml:space="preserve">Connections between sources are </w:t>
            </w:r>
            <w:proofErr w:type="gramStart"/>
            <w:r>
              <w:rPr>
                <w:rFonts w:ascii="Garamond" w:hAnsi="Garamond" w:cs="Garamond"/>
                <w:sz w:val="18"/>
                <w:szCs w:val="18"/>
              </w:rPr>
              <w:t>well-developed</w:t>
            </w:r>
            <w:proofErr w:type="gramEnd"/>
            <w:r>
              <w:rPr>
                <w:rFonts w:ascii="Garamond" w:hAnsi="Garamond" w:cs="Garamond"/>
                <w:sz w:val="18"/>
                <w:szCs w:val="18"/>
              </w:rPr>
              <w:t>, explained, and demonstrate higher-level critical thinking.</w:t>
            </w:r>
          </w:p>
        </w:tc>
        <w:tc>
          <w:tcPr>
            <w:tcW w:w="2523" w:type="dxa"/>
            <w:tcBorders>
              <w:top w:val="single" w:sz="8" w:space="0" w:color="auto"/>
              <w:left w:val="single" w:sz="8" w:space="0" w:color="auto"/>
              <w:bottom w:val="single" w:sz="8" w:space="0" w:color="auto"/>
              <w:right w:val="single" w:sz="8" w:space="0" w:color="auto"/>
            </w:tcBorders>
          </w:tcPr>
          <w:p w:rsidR="004B0C09" w:rsidRDefault="004B0C09">
            <w:pPr>
              <w:widowControl w:val="0"/>
              <w:numPr>
                <w:ilvl w:val="0"/>
                <w:numId w:val="7"/>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Garamond" w:hAnsi="Garamond" w:cs="Garamond"/>
                <w:sz w:val="18"/>
                <w:szCs w:val="18"/>
              </w:rPr>
            </w:pPr>
            <w:r>
              <w:rPr>
                <w:rFonts w:ascii="Garamond" w:hAnsi="Garamond" w:cs="Garamond"/>
                <w:sz w:val="18"/>
                <w:szCs w:val="18"/>
              </w:rPr>
              <w:t xml:space="preserve">Commentary is convincing </w:t>
            </w:r>
          </w:p>
          <w:p w:rsidR="004B0C09" w:rsidRDefault="004B0C09">
            <w:pPr>
              <w:widowControl w:val="0"/>
              <w:numPr>
                <w:ilvl w:val="0"/>
                <w:numId w:val="7"/>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Helvetica" w:hAnsi="Helvetica" w:cs="Helvetica"/>
                <w:kern w:val="1"/>
              </w:rPr>
            </w:pPr>
            <w:r>
              <w:rPr>
                <w:rFonts w:ascii="Garamond" w:hAnsi="Garamond" w:cs="Garamond"/>
                <w:sz w:val="18"/>
                <w:szCs w:val="18"/>
              </w:rPr>
              <w:t>Connections between sources are well-developed and explained</w:t>
            </w:r>
          </w:p>
        </w:tc>
        <w:tc>
          <w:tcPr>
            <w:tcW w:w="2341" w:type="dxa"/>
            <w:tcBorders>
              <w:top w:val="single" w:sz="8" w:space="0" w:color="auto"/>
              <w:left w:val="single" w:sz="8" w:space="0" w:color="auto"/>
              <w:bottom w:val="single" w:sz="8" w:space="0" w:color="auto"/>
              <w:right w:val="single" w:sz="8" w:space="0" w:color="auto"/>
            </w:tcBorders>
          </w:tcPr>
          <w:p w:rsidR="004B0C09" w:rsidRDefault="004B0C09">
            <w:pPr>
              <w:widowControl w:val="0"/>
              <w:numPr>
                <w:ilvl w:val="0"/>
                <w:numId w:val="8"/>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Garamond" w:hAnsi="Garamond" w:cs="Garamond"/>
                <w:sz w:val="18"/>
                <w:szCs w:val="18"/>
              </w:rPr>
            </w:pPr>
            <w:r>
              <w:rPr>
                <w:rFonts w:ascii="Garamond" w:hAnsi="Garamond" w:cs="Garamond"/>
                <w:sz w:val="18"/>
                <w:szCs w:val="18"/>
              </w:rPr>
              <w:t xml:space="preserve">Commentary isn’t convincing </w:t>
            </w:r>
          </w:p>
          <w:p w:rsidR="004B0C09" w:rsidRDefault="004B0C09">
            <w:pPr>
              <w:widowControl w:val="0"/>
              <w:numPr>
                <w:ilvl w:val="0"/>
                <w:numId w:val="8"/>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Helvetica" w:hAnsi="Helvetica" w:cs="Helvetica"/>
                <w:kern w:val="1"/>
              </w:rPr>
            </w:pPr>
            <w:r>
              <w:rPr>
                <w:rFonts w:ascii="Garamond" w:hAnsi="Garamond" w:cs="Garamond"/>
                <w:sz w:val="18"/>
                <w:szCs w:val="18"/>
              </w:rPr>
              <w:t>Too much focus on sources with little or weak commentary or connection between ideas</w:t>
            </w:r>
          </w:p>
        </w:tc>
        <w:tc>
          <w:tcPr>
            <w:tcW w:w="2430" w:type="dxa"/>
            <w:tcBorders>
              <w:top w:val="single" w:sz="8" w:space="0" w:color="auto"/>
              <w:left w:val="single" w:sz="8" w:space="0" w:color="auto"/>
              <w:bottom w:val="single" w:sz="8" w:space="0" w:color="auto"/>
              <w:right w:val="single" w:sz="8" w:space="0" w:color="auto"/>
            </w:tcBorders>
          </w:tcPr>
          <w:p w:rsidR="004B0C09" w:rsidRDefault="004B0C09">
            <w:pPr>
              <w:widowControl w:val="0"/>
              <w:numPr>
                <w:ilvl w:val="0"/>
                <w:numId w:val="9"/>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Garamond" w:hAnsi="Garamond" w:cs="Garamond"/>
                <w:sz w:val="18"/>
                <w:szCs w:val="18"/>
              </w:rPr>
            </w:pPr>
            <w:r>
              <w:rPr>
                <w:rFonts w:ascii="Garamond" w:hAnsi="Garamond" w:cs="Garamond"/>
                <w:sz w:val="18"/>
                <w:szCs w:val="18"/>
              </w:rPr>
              <w:t>Commentary doesn’t answer prompt or doesn’t directly speak to the prompt</w:t>
            </w:r>
          </w:p>
          <w:p w:rsidR="004B0C09" w:rsidRDefault="004B0C09">
            <w:pPr>
              <w:widowControl w:val="0"/>
              <w:numPr>
                <w:ilvl w:val="0"/>
                <w:numId w:val="9"/>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Helvetica" w:hAnsi="Helvetica" w:cs="Helvetica"/>
                <w:kern w:val="1"/>
              </w:rPr>
            </w:pPr>
            <w:r>
              <w:rPr>
                <w:rFonts w:ascii="Garamond" w:hAnsi="Garamond" w:cs="Garamond"/>
                <w:sz w:val="18"/>
                <w:szCs w:val="18"/>
              </w:rPr>
              <w:t xml:space="preserve">Sources do not connect to each other or author does not understand sources </w:t>
            </w:r>
          </w:p>
        </w:tc>
      </w:tr>
      <w:tr w:rsidR="004B0C09" w:rsidTr="004B0C09">
        <w:tblPrEx>
          <w:tblBorders>
            <w:top w:val="none" w:sz="0" w:space="0" w:color="auto"/>
          </w:tblBorders>
          <w:tblCellMar>
            <w:top w:w="0" w:type="dxa"/>
            <w:bottom w:w="0" w:type="dxa"/>
          </w:tblCellMar>
        </w:tblPrEx>
        <w:tc>
          <w:tcPr>
            <w:tcW w:w="1350" w:type="dxa"/>
            <w:tcBorders>
              <w:top w:val="single" w:sz="8" w:space="0" w:color="auto"/>
              <w:left w:val="single" w:sz="8" w:space="0" w:color="auto"/>
              <w:bottom w:val="single" w:sz="8" w:space="0" w:color="auto"/>
              <w:right w:val="single" w:sz="8" w:space="0" w:color="auto"/>
            </w:tcBorders>
          </w:tcPr>
          <w:p w:rsidR="004B0C09" w:rsidRDefault="004B0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18"/>
                <w:szCs w:val="18"/>
              </w:rPr>
            </w:pPr>
            <w:proofErr w:type="gramStart"/>
            <w:r>
              <w:rPr>
                <w:rFonts w:ascii="Garamond" w:hAnsi="Garamond" w:cs="Garamond"/>
                <w:b/>
                <w:bCs/>
                <w:sz w:val="18"/>
                <w:szCs w:val="18"/>
              </w:rPr>
              <w:t>writing</w:t>
            </w:r>
            <w:proofErr w:type="gramEnd"/>
            <w:r>
              <w:rPr>
                <w:rFonts w:ascii="Garamond" w:hAnsi="Garamond" w:cs="Garamond"/>
                <w:b/>
                <w:bCs/>
                <w:sz w:val="18"/>
                <w:szCs w:val="18"/>
              </w:rPr>
              <w:t xml:space="preserve"> clarity/</w:t>
            </w:r>
          </w:p>
          <w:p w:rsidR="004B0C09" w:rsidRDefault="004B0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18"/>
                <w:szCs w:val="18"/>
              </w:rPr>
            </w:pPr>
            <w:proofErr w:type="gramStart"/>
            <w:r>
              <w:rPr>
                <w:rFonts w:ascii="Garamond" w:hAnsi="Garamond" w:cs="Garamond"/>
                <w:b/>
                <w:bCs/>
                <w:sz w:val="18"/>
                <w:szCs w:val="18"/>
              </w:rPr>
              <w:t>sophistication</w:t>
            </w:r>
            <w:proofErr w:type="gramEnd"/>
          </w:p>
          <w:p w:rsidR="004B0C09" w:rsidRDefault="004B0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18"/>
                <w:szCs w:val="18"/>
              </w:rPr>
            </w:pPr>
          </w:p>
          <w:p w:rsidR="004B0C09" w:rsidRDefault="004B0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Garamond" w:hAnsi="Garamond" w:cs="Garamond"/>
                <w:b/>
                <w:bCs/>
                <w:sz w:val="18"/>
                <w:szCs w:val="18"/>
              </w:rPr>
              <w:t>20%</w:t>
            </w:r>
          </w:p>
        </w:tc>
        <w:tc>
          <w:tcPr>
            <w:tcW w:w="2024" w:type="dxa"/>
            <w:tcBorders>
              <w:top w:val="single" w:sz="8" w:space="0" w:color="auto"/>
              <w:left w:val="single" w:sz="8" w:space="0" w:color="auto"/>
              <w:bottom w:val="single" w:sz="8" w:space="0" w:color="auto"/>
              <w:right w:val="single" w:sz="8" w:space="0" w:color="auto"/>
            </w:tcBorders>
          </w:tcPr>
          <w:p w:rsidR="004B0C09" w:rsidRDefault="004B0C09">
            <w:pPr>
              <w:widowControl w:val="0"/>
              <w:numPr>
                <w:ilvl w:val="0"/>
                <w:numId w:val="10"/>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Garamond" w:hAnsi="Garamond" w:cs="Garamond"/>
                <w:sz w:val="18"/>
                <w:szCs w:val="18"/>
              </w:rPr>
            </w:pPr>
            <w:r>
              <w:rPr>
                <w:rFonts w:ascii="Garamond" w:hAnsi="Garamond" w:cs="Garamond"/>
                <w:sz w:val="18"/>
                <w:szCs w:val="18"/>
              </w:rPr>
              <w:t>Writing is free of errors and sophisticated in use of sentence structure and word choice</w:t>
            </w:r>
          </w:p>
          <w:p w:rsidR="004B0C09" w:rsidRDefault="004B0C09">
            <w:pPr>
              <w:widowControl w:val="0"/>
              <w:numPr>
                <w:ilvl w:val="0"/>
                <w:numId w:val="10"/>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Helvetica" w:hAnsi="Helvetica" w:cs="Helvetica"/>
                <w:kern w:val="1"/>
              </w:rPr>
            </w:pPr>
            <w:r>
              <w:rPr>
                <w:rFonts w:ascii="Garamond" w:hAnsi="Garamond" w:cs="Garamond"/>
                <w:sz w:val="18"/>
                <w:szCs w:val="18"/>
              </w:rPr>
              <w:t>Quotes/paraphrases introduced and integrated in variety of ways</w:t>
            </w:r>
          </w:p>
        </w:tc>
        <w:tc>
          <w:tcPr>
            <w:tcW w:w="2523" w:type="dxa"/>
            <w:tcBorders>
              <w:top w:val="single" w:sz="8" w:space="0" w:color="auto"/>
              <w:left w:val="single" w:sz="8" w:space="0" w:color="auto"/>
              <w:bottom w:val="single" w:sz="8" w:space="0" w:color="auto"/>
              <w:right w:val="single" w:sz="8" w:space="0" w:color="auto"/>
            </w:tcBorders>
          </w:tcPr>
          <w:p w:rsidR="004B0C09" w:rsidRDefault="004B0C09">
            <w:pPr>
              <w:widowControl w:val="0"/>
              <w:numPr>
                <w:ilvl w:val="0"/>
                <w:numId w:val="11"/>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Garamond" w:hAnsi="Garamond" w:cs="Garamond"/>
                <w:sz w:val="18"/>
                <w:szCs w:val="18"/>
              </w:rPr>
            </w:pPr>
            <w:r>
              <w:rPr>
                <w:rFonts w:ascii="Garamond" w:hAnsi="Garamond" w:cs="Garamond"/>
                <w:sz w:val="18"/>
                <w:szCs w:val="18"/>
              </w:rPr>
              <w:t xml:space="preserve">Writing has relatively few errors and is clear and strong in use of sentence structure and word choice </w:t>
            </w:r>
          </w:p>
          <w:p w:rsidR="004B0C09" w:rsidRDefault="004B0C09">
            <w:pPr>
              <w:widowControl w:val="0"/>
              <w:numPr>
                <w:ilvl w:val="0"/>
                <w:numId w:val="11"/>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Helvetica" w:hAnsi="Helvetica" w:cs="Helvetica"/>
                <w:kern w:val="1"/>
              </w:rPr>
            </w:pPr>
            <w:r>
              <w:rPr>
                <w:rFonts w:ascii="Garamond" w:hAnsi="Garamond" w:cs="Garamond"/>
                <w:sz w:val="18"/>
                <w:szCs w:val="18"/>
              </w:rPr>
              <w:t>Quotes/paraphrases introduced and integrated in a number of different ways</w:t>
            </w:r>
          </w:p>
        </w:tc>
        <w:tc>
          <w:tcPr>
            <w:tcW w:w="2341" w:type="dxa"/>
            <w:tcBorders>
              <w:top w:val="single" w:sz="8" w:space="0" w:color="auto"/>
              <w:left w:val="single" w:sz="8" w:space="0" w:color="auto"/>
              <w:bottom w:val="single" w:sz="8" w:space="0" w:color="auto"/>
              <w:right w:val="single" w:sz="8" w:space="0" w:color="auto"/>
            </w:tcBorders>
          </w:tcPr>
          <w:p w:rsidR="004B0C09" w:rsidRDefault="004B0C09">
            <w:pPr>
              <w:widowControl w:val="0"/>
              <w:numPr>
                <w:ilvl w:val="0"/>
                <w:numId w:val="12"/>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Garamond" w:hAnsi="Garamond" w:cs="Garamond"/>
                <w:sz w:val="18"/>
                <w:szCs w:val="18"/>
              </w:rPr>
            </w:pPr>
            <w:r>
              <w:rPr>
                <w:rFonts w:ascii="Garamond" w:hAnsi="Garamond" w:cs="Garamond"/>
                <w:sz w:val="18"/>
                <w:szCs w:val="18"/>
              </w:rPr>
              <w:t>Writing has a number of errors, but meaning is not obscured</w:t>
            </w:r>
          </w:p>
          <w:p w:rsidR="004B0C09" w:rsidRDefault="004B0C09">
            <w:pPr>
              <w:widowControl w:val="0"/>
              <w:numPr>
                <w:ilvl w:val="0"/>
                <w:numId w:val="12"/>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Garamond" w:hAnsi="Garamond" w:cs="Garamond"/>
                <w:sz w:val="18"/>
                <w:szCs w:val="18"/>
              </w:rPr>
            </w:pPr>
            <w:r>
              <w:rPr>
                <w:rFonts w:ascii="Garamond" w:hAnsi="Garamond" w:cs="Garamond"/>
                <w:sz w:val="18"/>
                <w:szCs w:val="18"/>
              </w:rPr>
              <w:t>Use of sentence structure and word choice is simpler</w:t>
            </w:r>
          </w:p>
          <w:p w:rsidR="004B0C09" w:rsidRDefault="004B0C09">
            <w:pPr>
              <w:widowControl w:val="0"/>
              <w:numPr>
                <w:ilvl w:val="0"/>
                <w:numId w:val="12"/>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Helvetica" w:hAnsi="Helvetica" w:cs="Helvetica"/>
                <w:kern w:val="1"/>
              </w:rPr>
            </w:pPr>
            <w:r>
              <w:rPr>
                <w:rFonts w:ascii="Garamond" w:hAnsi="Garamond" w:cs="Garamond"/>
                <w:sz w:val="18"/>
                <w:szCs w:val="18"/>
              </w:rPr>
              <w:t>Quotes/paraphrases introduced and integrated in only a couple different ways</w:t>
            </w:r>
          </w:p>
        </w:tc>
        <w:tc>
          <w:tcPr>
            <w:tcW w:w="2430" w:type="dxa"/>
            <w:tcBorders>
              <w:top w:val="single" w:sz="8" w:space="0" w:color="auto"/>
              <w:left w:val="single" w:sz="8" w:space="0" w:color="auto"/>
              <w:bottom w:val="single" w:sz="8" w:space="0" w:color="auto"/>
              <w:right w:val="single" w:sz="8" w:space="0" w:color="auto"/>
            </w:tcBorders>
          </w:tcPr>
          <w:p w:rsidR="004B0C09" w:rsidRDefault="004B0C09">
            <w:pPr>
              <w:widowControl w:val="0"/>
              <w:numPr>
                <w:ilvl w:val="0"/>
                <w:numId w:val="13"/>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Garamond" w:hAnsi="Garamond" w:cs="Garamond"/>
                <w:sz w:val="18"/>
                <w:szCs w:val="18"/>
              </w:rPr>
            </w:pPr>
            <w:r>
              <w:rPr>
                <w:rFonts w:ascii="Garamond" w:hAnsi="Garamond" w:cs="Garamond"/>
                <w:sz w:val="18"/>
                <w:szCs w:val="18"/>
              </w:rPr>
              <w:t>Writing includes numerous errors that obscure meaning</w:t>
            </w:r>
          </w:p>
          <w:p w:rsidR="004B0C09" w:rsidRDefault="004B0C09">
            <w:pPr>
              <w:widowControl w:val="0"/>
              <w:numPr>
                <w:ilvl w:val="0"/>
                <w:numId w:val="13"/>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Garamond" w:hAnsi="Garamond" w:cs="Garamond"/>
                <w:sz w:val="18"/>
                <w:szCs w:val="18"/>
              </w:rPr>
            </w:pPr>
            <w:r>
              <w:rPr>
                <w:rFonts w:ascii="Garamond" w:hAnsi="Garamond" w:cs="Garamond"/>
                <w:sz w:val="18"/>
                <w:szCs w:val="18"/>
              </w:rPr>
              <w:t>No variety of sentence structure and word choice is weak</w:t>
            </w:r>
          </w:p>
          <w:p w:rsidR="004B0C09" w:rsidRDefault="004B0C09">
            <w:pPr>
              <w:widowControl w:val="0"/>
              <w:numPr>
                <w:ilvl w:val="0"/>
                <w:numId w:val="13"/>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Helvetica" w:hAnsi="Helvetica" w:cs="Helvetica"/>
                <w:kern w:val="1"/>
              </w:rPr>
            </w:pPr>
            <w:r>
              <w:rPr>
                <w:rFonts w:ascii="Garamond" w:hAnsi="Garamond" w:cs="Garamond"/>
                <w:sz w:val="18"/>
                <w:szCs w:val="18"/>
              </w:rPr>
              <w:t>Quotes/paraphrases all introduced and integrated the same way</w:t>
            </w:r>
          </w:p>
        </w:tc>
      </w:tr>
      <w:tr w:rsidR="004B0C09" w:rsidTr="004B0C09">
        <w:tblPrEx>
          <w:tblCellMar>
            <w:top w:w="0" w:type="dxa"/>
            <w:bottom w:w="0" w:type="dxa"/>
          </w:tblCellMar>
        </w:tblPrEx>
        <w:tc>
          <w:tcPr>
            <w:tcW w:w="1350" w:type="dxa"/>
            <w:tcBorders>
              <w:top w:val="single" w:sz="8" w:space="0" w:color="auto"/>
              <w:left w:val="single" w:sz="8" w:space="0" w:color="auto"/>
              <w:bottom w:val="single" w:sz="8" w:space="0" w:color="auto"/>
              <w:right w:val="single" w:sz="8" w:space="0" w:color="auto"/>
            </w:tcBorders>
          </w:tcPr>
          <w:p w:rsidR="004B0C09" w:rsidRDefault="004B0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18"/>
                <w:szCs w:val="18"/>
              </w:rPr>
            </w:pPr>
            <w:proofErr w:type="gramStart"/>
            <w:r>
              <w:rPr>
                <w:rFonts w:ascii="Garamond" w:hAnsi="Garamond" w:cs="Garamond"/>
                <w:b/>
                <w:bCs/>
                <w:sz w:val="18"/>
                <w:szCs w:val="18"/>
              </w:rPr>
              <w:t>number</w:t>
            </w:r>
            <w:proofErr w:type="gramEnd"/>
            <w:r>
              <w:rPr>
                <w:rFonts w:ascii="Garamond" w:hAnsi="Garamond" w:cs="Garamond"/>
                <w:b/>
                <w:bCs/>
                <w:sz w:val="18"/>
                <w:szCs w:val="18"/>
              </w:rPr>
              <w:t xml:space="preserve"> of sources/MLA</w:t>
            </w:r>
          </w:p>
          <w:p w:rsidR="004B0C09" w:rsidRDefault="004B0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18"/>
                <w:szCs w:val="18"/>
              </w:rPr>
            </w:pPr>
          </w:p>
          <w:p w:rsidR="004B0C09" w:rsidRDefault="004B0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Garamond" w:hAnsi="Garamond" w:cs="Garamond"/>
                <w:b/>
                <w:bCs/>
                <w:sz w:val="18"/>
                <w:szCs w:val="18"/>
              </w:rPr>
              <w:t>10%</w:t>
            </w:r>
          </w:p>
        </w:tc>
        <w:tc>
          <w:tcPr>
            <w:tcW w:w="2024" w:type="dxa"/>
            <w:tcBorders>
              <w:top w:val="single" w:sz="8" w:space="0" w:color="auto"/>
              <w:left w:val="single" w:sz="8" w:space="0" w:color="auto"/>
              <w:bottom w:val="single" w:sz="8" w:space="0" w:color="auto"/>
              <w:right w:val="single" w:sz="8" w:space="0" w:color="auto"/>
            </w:tcBorders>
          </w:tcPr>
          <w:p w:rsidR="004B0C09" w:rsidRDefault="004B0C09">
            <w:pPr>
              <w:widowControl w:val="0"/>
              <w:numPr>
                <w:ilvl w:val="0"/>
                <w:numId w:val="14"/>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Garamond" w:hAnsi="Garamond" w:cs="Garamond"/>
                <w:sz w:val="18"/>
                <w:szCs w:val="18"/>
              </w:rPr>
            </w:pPr>
            <w:r>
              <w:rPr>
                <w:rFonts w:ascii="Garamond" w:hAnsi="Garamond" w:cs="Garamond"/>
                <w:sz w:val="18"/>
                <w:szCs w:val="18"/>
              </w:rPr>
              <w:t>≥5 different sources used</w:t>
            </w:r>
          </w:p>
          <w:p w:rsidR="004B0C09" w:rsidRDefault="004B0C09">
            <w:pPr>
              <w:widowControl w:val="0"/>
              <w:numPr>
                <w:ilvl w:val="0"/>
                <w:numId w:val="14"/>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Helvetica" w:hAnsi="Helvetica" w:cs="Helvetica"/>
                <w:kern w:val="1"/>
              </w:rPr>
            </w:pPr>
            <w:r>
              <w:rPr>
                <w:rFonts w:ascii="Garamond" w:hAnsi="Garamond" w:cs="Garamond"/>
                <w:sz w:val="18"/>
                <w:szCs w:val="18"/>
              </w:rPr>
              <w:t>In-text citations, annotated works cited, and MLA formatting are free of errors</w:t>
            </w:r>
          </w:p>
        </w:tc>
        <w:tc>
          <w:tcPr>
            <w:tcW w:w="2523" w:type="dxa"/>
            <w:tcBorders>
              <w:top w:val="single" w:sz="8" w:space="0" w:color="auto"/>
              <w:left w:val="single" w:sz="8" w:space="0" w:color="auto"/>
              <w:bottom w:val="single" w:sz="8" w:space="0" w:color="auto"/>
              <w:right w:val="single" w:sz="8" w:space="0" w:color="auto"/>
            </w:tcBorders>
          </w:tcPr>
          <w:p w:rsidR="004B0C09" w:rsidRDefault="004B0C09">
            <w:pPr>
              <w:widowControl w:val="0"/>
              <w:numPr>
                <w:ilvl w:val="0"/>
                <w:numId w:val="15"/>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Garamond" w:hAnsi="Garamond" w:cs="Garamond"/>
                <w:sz w:val="18"/>
                <w:szCs w:val="18"/>
              </w:rPr>
            </w:pPr>
            <w:r>
              <w:rPr>
                <w:rFonts w:ascii="Garamond" w:hAnsi="Garamond" w:cs="Garamond"/>
                <w:sz w:val="18"/>
                <w:szCs w:val="18"/>
              </w:rPr>
              <w:t>4 different sources used</w:t>
            </w:r>
          </w:p>
          <w:p w:rsidR="004B0C09" w:rsidRDefault="004B0C09">
            <w:pPr>
              <w:widowControl w:val="0"/>
              <w:numPr>
                <w:ilvl w:val="0"/>
                <w:numId w:val="15"/>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Helvetica" w:hAnsi="Helvetica" w:cs="Helvetica"/>
                <w:kern w:val="1"/>
              </w:rPr>
            </w:pPr>
            <w:r>
              <w:rPr>
                <w:rFonts w:ascii="Garamond" w:hAnsi="Garamond" w:cs="Garamond"/>
                <w:sz w:val="18"/>
                <w:szCs w:val="18"/>
              </w:rPr>
              <w:t xml:space="preserve">Few errors with the in-text citations, annotated works cited page, </w:t>
            </w:r>
            <w:r>
              <w:rPr>
                <w:rFonts w:ascii="Garamond" w:hAnsi="Garamond" w:cs="Garamond"/>
                <w:i/>
                <w:iCs/>
                <w:sz w:val="18"/>
                <w:szCs w:val="18"/>
              </w:rPr>
              <w:t xml:space="preserve">or </w:t>
            </w:r>
            <w:r>
              <w:rPr>
                <w:rFonts w:ascii="Garamond" w:hAnsi="Garamond" w:cs="Garamond"/>
                <w:sz w:val="18"/>
                <w:szCs w:val="18"/>
              </w:rPr>
              <w:t>MLA formatting</w:t>
            </w:r>
          </w:p>
        </w:tc>
        <w:tc>
          <w:tcPr>
            <w:tcW w:w="2341" w:type="dxa"/>
            <w:tcBorders>
              <w:top w:val="single" w:sz="8" w:space="0" w:color="auto"/>
              <w:left w:val="single" w:sz="8" w:space="0" w:color="auto"/>
              <w:bottom w:val="single" w:sz="8" w:space="0" w:color="auto"/>
              <w:right w:val="single" w:sz="8" w:space="0" w:color="auto"/>
            </w:tcBorders>
          </w:tcPr>
          <w:p w:rsidR="004B0C09" w:rsidRPr="004B0C09" w:rsidRDefault="004B0C09" w:rsidP="004B0C09">
            <w:pPr>
              <w:widowControl w:val="0"/>
              <w:numPr>
                <w:ilvl w:val="0"/>
                <w:numId w:val="16"/>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Garamond" w:hAnsi="Garamond" w:cs="Garamond"/>
                <w:sz w:val="18"/>
                <w:szCs w:val="18"/>
              </w:rPr>
            </w:pPr>
            <w:r>
              <w:rPr>
                <w:rFonts w:ascii="Garamond" w:hAnsi="Garamond" w:cs="Garamond"/>
                <w:sz w:val="18"/>
                <w:szCs w:val="18"/>
              </w:rPr>
              <w:t xml:space="preserve">3 </w:t>
            </w:r>
            <w:r>
              <w:rPr>
                <w:rFonts w:ascii="Garamond" w:hAnsi="Garamond" w:cs="Garamond"/>
                <w:sz w:val="18"/>
                <w:szCs w:val="18"/>
              </w:rPr>
              <w:t>sources used</w:t>
            </w:r>
            <w:r>
              <w:rPr>
                <w:rFonts w:ascii="Garamond" w:hAnsi="Garamond" w:cs="Garamond"/>
                <w:sz w:val="18"/>
                <w:szCs w:val="18"/>
              </w:rPr>
              <w:t xml:space="preserve"> - </w:t>
            </w:r>
            <w:r w:rsidRPr="004B0C09">
              <w:rPr>
                <w:rFonts w:ascii="Garamond" w:hAnsi="Garamond" w:cs="Garamond"/>
                <w:sz w:val="18"/>
                <w:szCs w:val="18"/>
              </w:rPr>
              <w:t xml:space="preserve">Excessive formatting problems with in-text citations, annotated works cited page, </w:t>
            </w:r>
            <w:r w:rsidRPr="004B0C09">
              <w:rPr>
                <w:rFonts w:ascii="Garamond" w:hAnsi="Garamond" w:cs="Garamond"/>
                <w:i/>
                <w:iCs/>
                <w:sz w:val="18"/>
                <w:szCs w:val="18"/>
              </w:rPr>
              <w:t>or</w:t>
            </w:r>
            <w:r w:rsidRPr="004B0C09">
              <w:rPr>
                <w:rFonts w:ascii="Garamond" w:hAnsi="Garamond" w:cs="Garamond"/>
                <w:sz w:val="18"/>
                <w:szCs w:val="18"/>
              </w:rPr>
              <w:t xml:space="preserve"> MLA paper formatting</w:t>
            </w:r>
          </w:p>
        </w:tc>
        <w:tc>
          <w:tcPr>
            <w:tcW w:w="2430" w:type="dxa"/>
            <w:tcBorders>
              <w:top w:val="single" w:sz="8" w:space="0" w:color="auto"/>
              <w:left w:val="single" w:sz="8" w:space="0" w:color="auto"/>
              <w:bottom w:val="single" w:sz="8" w:space="0" w:color="auto"/>
              <w:right w:val="single" w:sz="8" w:space="0" w:color="auto"/>
            </w:tcBorders>
          </w:tcPr>
          <w:p w:rsidR="004B0C09" w:rsidRDefault="004B0C09">
            <w:pPr>
              <w:widowControl w:val="0"/>
              <w:numPr>
                <w:ilvl w:val="0"/>
                <w:numId w:val="17"/>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Garamond" w:hAnsi="Garamond" w:cs="Garamond"/>
                <w:sz w:val="18"/>
                <w:szCs w:val="18"/>
              </w:rPr>
            </w:pPr>
            <w:r>
              <w:rPr>
                <w:rFonts w:ascii="Garamond" w:hAnsi="Garamond" w:cs="Garamond"/>
                <w:sz w:val="18"/>
                <w:szCs w:val="18"/>
              </w:rPr>
              <w:t>≤2 different sources used</w:t>
            </w:r>
          </w:p>
          <w:p w:rsidR="004B0C09" w:rsidRDefault="004B0C09">
            <w:pPr>
              <w:widowControl w:val="0"/>
              <w:numPr>
                <w:ilvl w:val="0"/>
                <w:numId w:val="17"/>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Helvetica" w:hAnsi="Helvetica" w:cs="Helvetica"/>
                <w:kern w:val="1"/>
              </w:rPr>
            </w:pPr>
            <w:r>
              <w:rPr>
                <w:rFonts w:ascii="Garamond" w:hAnsi="Garamond" w:cs="Garamond"/>
                <w:sz w:val="18"/>
                <w:szCs w:val="18"/>
              </w:rPr>
              <w:t xml:space="preserve">In-text citations, annotated works cited page, </w:t>
            </w:r>
            <w:r>
              <w:rPr>
                <w:rFonts w:ascii="Garamond" w:hAnsi="Garamond" w:cs="Garamond"/>
                <w:i/>
                <w:iCs/>
                <w:sz w:val="18"/>
                <w:szCs w:val="18"/>
              </w:rPr>
              <w:t>or</w:t>
            </w:r>
            <w:r>
              <w:rPr>
                <w:rFonts w:ascii="Garamond" w:hAnsi="Garamond" w:cs="Garamond"/>
                <w:sz w:val="18"/>
                <w:szCs w:val="18"/>
              </w:rPr>
              <w:t xml:space="preserve"> MLA paper formatting are entirely missing</w:t>
            </w:r>
          </w:p>
        </w:tc>
      </w:tr>
    </w:tbl>
    <w:p w:rsidR="004B0C09" w:rsidRDefault="004B0C09" w:rsidP="004B0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0"/>
          <w:szCs w:val="20"/>
        </w:rPr>
      </w:pPr>
    </w:p>
    <w:p w:rsidR="00F576C9" w:rsidRDefault="00F576C9"/>
    <w:sectPr w:rsidR="00F576C9" w:rsidSect="004B0C09">
      <w:headerReference w:type="default" r:id="rId8"/>
      <w:pgSz w:w="12240" w:h="15840"/>
      <w:pgMar w:top="1440" w:right="720" w:bottom="144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C09" w:rsidRDefault="004B0C09" w:rsidP="004B0C09">
      <w:r>
        <w:separator/>
      </w:r>
    </w:p>
  </w:endnote>
  <w:endnote w:type="continuationSeparator" w:id="0">
    <w:p w:rsidR="004B0C09" w:rsidRDefault="004B0C09" w:rsidP="004B0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C09" w:rsidRDefault="004B0C09" w:rsidP="004B0C09">
      <w:r>
        <w:separator/>
      </w:r>
    </w:p>
  </w:footnote>
  <w:footnote w:type="continuationSeparator" w:id="0">
    <w:p w:rsidR="004B0C09" w:rsidRDefault="004B0C09" w:rsidP="004B0C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C09" w:rsidRDefault="004B0C09" w:rsidP="004B0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0"/>
        <w:szCs w:val="20"/>
      </w:rPr>
    </w:pPr>
    <w:r>
      <w:rPr>
        <w:rFonts w:ascii="Garamond" w:hAnsi="Garamond" w:cs="Garamond"/>
        <w:b/>
        <w:bCs/>
        <w:sz w:val="20"/>
        <w:szCs w:val="20"/>
      </w:rPr>
      <w:t xml:space="preserve">Inequity Research Synthesis Essay </w:t>
    </w:r>
    <w:r>
      <w:rPr>
        <w:rFonts w:ascii="Garamond" w:hAnsi="Garamond" w:cs="Garamond"/>
        <w:b/>
        <w:bCs/>
        <w:sz w:val="20"/>
        <w:szCs w:val="20"/>
      </w:rPr>
      <w:tab/>
    </w:r>
    <w:r>
      <w:rPr>
        <w:rFonts w:ascii="Garamond" w:hAnsi="Garamond" w:cs="Garamond"/>
        <w:b/>
        <w:bCs/>
        <w:sz w:val="20"/>
        <w:szCs w:val="20"/>
      </w:rPr>
      <w:tab/>
    </w:r>
    <w:r>
      <w:rPr>
        <w:rFonts w:ascii="Garamond" w:hAnsi="Garamond" w:cs="Garamond"/>
        <w:b/>
        <w:bCs/>
        <w:sz w:val="20"/>
        <w:szCs w:val="20"/>
      </w:rPr>
      <w:tab/>
    </w:r>
    <w:r>
      <w:rPr>
        <w:rFonts w:ascii="Garamond" w:hAnsi="Garamond" w:cs="Garamond"/>
        <w:b/>
        <w:bCs/>
        <w:sz w:val="20"/>
        <w:szCs w:val="20"/>
      </w:rPr>
      <w:tab/>
    </w:r>
    <w:r>
      <w:rPr>
        <w:rFonts w:ascii="Garamond" w:hAnsi="Garamond" w:cs="Garamond"/>
        <w:b/>
        <w:bCs/>
        <w:sz w:val="20"/>
        <w:szCs w:val="20"/>
      </w:rPr>
      <w:tab/>
    </w:r>
    <w:r>
      <w:rPr>
        <w:rFonts w:ascii="Garamond" w:hAnsi="Garamond" w:cs="Garamond"/>
        <w:b/>
        <w:bCs/>
        <w:sz w:val="20"/>
        <w:szCs w:val="20"/>
      </w:rPr>
      <w:tab/>
    </w:r>
    <w:r>
      <w:rPr>
        <w:rFonts w:ascii="Garamond" w:hAnsi="Garamond" w:cs="Garamond"/>
        <w:b/>
        <w:bCs/>
        <w:sz w:val="20"/>
        <w:szCs w:val="20"/>
      </w:rPr>
      <w:tab/>
    </w:r>
    <w:r>
      <w:rPr>
        <w:rFonts w:ascii="Garamond" w:hAnsi="Garamond" w:cs="Garamond"/>
        <w:b/>
        <w:bCs/>
        <w:sz w:val="20"/>
        <w:szCs w:val="20"/>
      </w:rPr>
      <w:tab/>
    </w:r>
    <w:r>
      <w:rPr>
        <w:rFonts w:ascii="Garamond" w:hAnsi="Garamond" w:cs="Garamond"/>
        <w:b/>
        <w:bCs/>
        <w:sz w:val="20"/>
        <w:szCs w:val="20"/>
      </w:rPr>
      <w:tab/>
    </w:r>
    <w:r>
      <w:rPr>
        <w:rFonts w:ascii="Garamond" w:hAnsi="Garamond" w:cs="Garamond"/>
        <w:b/>
        <w:bCs/>
        <w:sz w:val="20"/>
        <w:szCs w:val="20"/>
      </w:rPr>
      <w:tab/>
      <w:t>Frick</w:t>
    </w:r>
  </w:p>
  <w:p w:rsidR="004B0C09" w:rsidRDefault="004B0C09" w:rsidP="004B0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0"/>
        <w:szCs w:val="20"/>
      </w:rPr>
    </w:pPr>
    <w:r>
      <w:rPr>
        <w:rFonts w:ascii="Garamond" w:hAnsi="Garamond" w:cs="Garamond"/>
        <w:b/>
        <w:bCs/>
        <w:sz w:val="20"/>
        <w:szCs w:val="20"/>
      </w:rPr>
      <w:t>AP English Language and Composition</w:t>
    </w:r>
  </w:p>
  <w:p w:rsidR="004B0C09" w:rsidRDefault="004B0C0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C09"/>
    <w:rsid w:val="001F45BC"/>
    <w:rsid w:val="002E2EDC"/>
    <w:rsid w:val="004B0C09"/>
    <w:rsid w:val="00F576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C4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C09"/>
    <w:pPr>
      <w:tabs>
        <w:tab w:val="center" w:pos="4320"/>
        <w:tab w:val="right" w:pos="8640"/>
      </w:tabs>
    </w:pPr>
  </w:style>
  <w:style w:type="character" w:customStyle="1" w:styleId="HeaderChar">
    <w:name w:val="Header Char"/>
    <w:basedOn w:val="DefaultParagraphFont"/>
    <w:link w:val="Header"/>
    <w:uiPriority w:val="99"/>
    <w:rsid w:val="004B0C09"/>
  </w:style>
  <w:style w:type="paragraph" w:styleId="Footer">
    <w:name w:val="footer"/>
    <w:basedOn w:val="Normal"/>
    <w:link w:val="FooterChar"/>
    <w:uiPriority w:val="99"/>
    <w:unhideWhenUsed/>
    <w:rsid w:val="004B0C09"/>
    <w:pPr>
      <w:tabs>
        <w:tab w:val="center" w:pos="4320"/>
        <w:tab w:val="right" w:pos="8640"/>
      </w:tabs>
    </w:pPr>
  </w:style>
  <w:style w:type="character" w:customStyle="1" w:styleId="FooterChar">
    <w:name w:val="Footer Char"/>
    <w:basedOn w:val="DefaultParagraphFont"/>
    <w:link w:val="Footer"/>
    <w:uiPriority w:val="99"/>
    <w:rsid w:val="004B0C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C09"/>
    <w:pPr>
      <w:tabs>
        <w:tab w:val="center" w:pos="4320"/>
        <w:tab w:val="right" w:pos="8640"/>
      </w:tabs>
    </w:pPr>
  </w:style>
  <w:style w:type="character" w:customStyle="1" w:styleId="HeaderChar">
    <w:name w:val="Header Char"/>
    <w:basedOn w:val="DefaultParagraphFont"/>
    <w:link w:val="Header"/>
    <w:uiPriority w:val="99"/>
    <w:rsid w:val="004B0C09"/>
  </w:style>
  <w:style w:type="paragraph" w:styleId="Footer">
    <w:name w:val="footer"/>
    <w:basedOn w:val="Normal"/>
    <w:link w:val="FooterChar"/>
    <w:uiPriority w:val="99"/>
    <w:unhideWhenUsed/>
    <w:rsid w:val="004B0C09"/>
    <w:pPr>
      <w:tabs>
        <w:tab w:val="center" w:pos="4320"/>
        <w:tab w:val="right" w:pos="8640"/>
      </w:tabs>
    </w:pPr>
  </w:style>
  <w:style w:type="character" w:customStyle="1" w:styleId="FooterChar">
    <w:name w:val="Footer Char"/>
    <w:basedOn w:val="DefaultParagraphFont"/>
    <w:link w:val="Footer"/>
    <w:uiPriority w:val="99"/>
    <w:rsid w:val="004B0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664</Words>
  <Characters>3785</Characters>
  <Application>Microsoft Macintosh Word</Application>
  <DocSecurity>0</DocSecurity>
  <Lines>31</Lines>
  <Paragraphs>8</Paragraphs>
  <ScaleCrop>false</ScaleCrop>
  <Company>SVVSD</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dc:creator>
  <cp:keywords/>
  <dc:description/>
  <cp:lastModifiedBy>local</cp:lastModifiedBy>
  <cp:revision>1</cp:revision>
  <cp:lastPrinted>2014-02-04T17:57:00Z</cp:lastPrinted>
  <dcterms:created xsi:type="dcterms:W3CDTF">2014-02-04T17:50:00Z</dcterms:created>
  <dcterms:modified xsi:type="dcterms:W3CDTF">2014-02-04T17:59:00Z</dcterms:modified>
</cp:coreProperties>
</file>